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FF" w:rsidRPr="00176461" w:rsidRDefault="009941FF" w:rsidP="009941FF">
      <w:pPr>
        <w:autoSpaceDE w:val="0"/>
        <w:autoSpaceDN w:val="0"/>
        <w:adjustRightInd w:val="0"/>
        <w:spacing w:after="120" w:line="240" w:lineRule="auto"/>
        <w:jc w:val="both"/>
        <w:rPr>
          <w:sz w:val="20"/>
          <w:szCs w:val="24"/>
        </w:rPr>
      </w:pPr>
      <w:bookmarkStart w:id="0" w:name="_GoBack"/>
      <w:bookmarkEnd w:id="0"/>
      <w:r w:rsidRPr="00176461">
        <w:rPr>
          <w:sz w:val="20"/>
          <w:szCs w:val="24"/>
        </w:rPr>
        <w:t>Review of:</w:t>
      </w:r>
    </w:p>
    <w:p w:rsidR="00EC147C" w:rsidRPr="00BF6921" w:rsidRDefault="00DD0ED9" w:rsidP="003B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120" w:line="240" w:lineRule="auto"/>
        <w:jc w:val="center"/>
        <w:rPr>
          <w:rFonts w:cs="Trebuchet MS"/>
          <w:b/>
          <w:bCs/>
          <w:i/>
          <w:sz w:val="24"/>
          <w:szCs w:val="24"/>
        </w:rPr>
      </w:pPr>
      <w:r w:rsidRPr="00DD0ED9">
        <w:rPr>
          <w:rFonts w:cs="Trebuchet MS"/>
          <w:b/>
          <w:bCs/>
          <w:i/>
          <w:sz w:val="24"/>
          <w:szCs w:val="24"/>
        </w:rPr>
        <w:t>The influence of volatility spill-overs and market beta on portfolio construction</w:t>
      </w:r>
    </w:p>
    <w:p w:rsidR="00CE3207" w:rsidRPr="00FA34B5" w:rsidRDefault="00CE3207" w:rsidP="009941FF">
      <w:pPr>
        <w:autoSpaceDE w:val="0"/>
        <w:autoSpaceDN w:val="0"/>
        <w:adjustRightInd w:val="0"/>
        <w:spacing w:after="120" w:line="240" w:lineRule="auto"/>
        <w:jc w:val="both"/>
        <w:rPr>
          <w:rFonts w:cs="Trebuchet MS"/>
          <w:sz w:val="20"/>
          <w:szCs w:val="18"/>
        </w:rPr>
      </w:pPr>
      <w:r w:rsidRPr="00FA34B5">
        <w:rPr>
          <w:rFonts w:cs="Trebuchet MS"/>
          <w:sz w:val="20"/>
          <w:szCs w:val="18"/>
        </w:rPr>
        <w:t xml:space="preserve">This study </w:t>
      </w:r>
      <w:r w:rsidR="00717626" w:rsidRPr="00FA34B5">
        <w:rPr>
          <w:rFonts w:cs="Trebuchet MS"/>
          <w:sz w:val="20"/>
          <w:szCs w:val="18"/>
        </w:rPr>
        <w:t xml:space="preserve">aims to contribute </w:t>
      </w:r>
      <w:r w:rsidRPr="00FA34B5">
        <w:rPr>
          <w:rFonts w:cs="Trebuchet MS"/>
          <w:sz w:val="20"/>
          <w:szCs w:val="18"/>
        </w:rPr>
        <w:t xml:space="preserve">to Modern Portfolio Theory (MPT) by providing an additional measure to market beta in </w:t>
      </w:r>
      <w:r w:rsidR="00717626" w:rsidRPr="00FA34B5">
        <w:rPr>
          <w:rFonts w:cs="Trebuchet MS"/>
          <w:sz w:val="20"/>
          <w:szCs w:val="18"/>
        </w:rPr>
        <w:t xml:space="preserve">the </w:t>
      </w:r>
      <w:r w:rsidRPr="00FA34B5">
        <w:rPr>
          <w:rFonts w:cs="Trebuchet MS"/>
          <w:sz w:val="20"/>
          <w:szCs w:val="18"/>
        </w:rPr>
        <w:t>constructi</w:t>
      </w:r>
      <w:r w:rsidR="00717626" w:rsidRPr="00FA34B5">
        <w:rPr>
          <w:rFonts w:cs="Trebuchet MS"/>
          <w:sz w:val="20"/>
          <w:szCs w:val="18"/>
        </w:rPr>
        <w:t>o</w:t>
      </w:r>
      <w:r w:rsidRPr="00FA34B5">
        <w:rPr>
          <w:rFonts w:cs="Trebuchet MS"/>
          <w:sz w:val="20"/>
          <w:szCs w:val="18"/>
        </w:rPr>
        <w:t xml:space="preserve">n </w:t>
      </w:r>
      <w:r w:rsidR="00717626" w:rsidRPr="00FA34B5">
        <w:rPr>
          <w:rFonts w:cs="Trebuchet MS"/>
          <w:sz w:val="20"/>
          <w:szCs w:val="18"/>
        </w:rPr>
        <w:t xml:space="preserve">of </w:t>
      </w:r>
      <w:r w:rsidRPr="00FA34B5">
        <w:rPr>
          <w:rFonts w:cs="Trebuchet MS"/>
          <w:sz w:val="20"/>
          <w:szCs w:val="18"/>
        </w:rPr>
        <w:t>a more efficient investment portfolio. The additional measure analyses the volatility spill-over e</w:t>
      </w:r>
      <w:r w:rsidRPr="00FA34B5">
        <w:rPr>
          <w:rFonts w:cs="Trebuchet MS"/>
          <w:sz w:val="20"/>
          <w:szCs w:val="18"/>
        </w:rPr>
        <w:t>f</w:t>
      </w:r>
      <w:r w:rsidRPr="00FA34B5">
        <w:rPr>
          <w:rFonts w:cs="Trebuchet MS"/>
          <w:sz w:val="20"/>
          <w:szCs w:val="18"/>
        </w:rPr>
        <w:t xml:space="preserve">fects between stocks within the same portfolio. </w:t>
      </w:r>
      <w:r w:rsidR="00717626" w:rsidRPr="00FA34B5">
        <w:rPr>
          <w:rFonts w:cs="Trebuchet MS"/>
          <w:sz w:val="20"/>
          <w:szCs w:val="18"/>
        </w:rPr>
        <w:t xml:space="preserve">The authors demonstrate </w:t>
      </w:r>
      <w:r w:rsidRPr="00FA34B5">
        <w:rPr>
          <w:rFonts w:cs="Trebuchet MS"/>
          <w:sz w:val="20"/>
          <w:szCs w:val="18"/>
        </w:rPr>
        <w:t xml:space="preserve">that when a particular stock attracts fewer volatility spill-over effects from the other stocks in the portfolio, the overall portfolio volatility </w:t>
      </w:r>
      <w:r w:rsidR="00717626" w:rsidRPr="00FA34B5">
        <w:rPr>
          <w:rFonts w:cs="Trebuchet MS"/>
          <w:sz w:val="20"/>
          <w:szCs w:val="18"/>
        </w:rPr>
        <w:t xml:space="preserve">also </w:t>
      </w:r>
      <w:r w:rsidRPr="00FA34B5">
        <w:rPr>
          <w:rFonts w:cs="Trebuchet MS"/>
          <w:sz w:val="20"/>
          <w:szCs w:val="18"/>
        </w:rPr>
        <w:t>decrease</w:t>
      </w:r>
      <w:r w:rsidR="00717626" w:rsidRPr="00FA34B5">
        <w:rPr>
          <w:rFonts w:cs="Trebuchet MS"/>
          <w:sz w:val="20"/>
          <w:szCs w:val="18"/>
        </w:rPr>
        <w:t>s</w:t>
      </w:r>
      <w:r w:rsidRPr="00FA34B5">
        <w:rPr>
          <w:rFonts w:cs="Trebuchet MS"/>
          <w:sz w:val="20"/>
          <w:szCs w:val="18"/>
        </w:rPr>
        <w:t xml:space="preserve">. </w:t>
      </w:r>
      <w:r w:rsidR="00717626" w:rsidRPr="00FA34B5">
        <w:rPr>
          <w:rFonts w:cs="Trebuchet MS"/>
          <w:sz w:val="20"/>
          <w:szCs w:val="18"/>
        </w:rPr>
        <w:t xml:space="preserve">The </w:t>
      </w:r>
      <w:r w:rsidRPr="00FA34B5">
        <w:rPr>
          <w:rFonts w:cs="Trebuchet MS"/>
          <w:sz w:val="20"/>
          <w:szCs w:val="18"/>
        </w:rPr>
        <w:t>co</w:t>
      </w:r>
      <w:r w:rsidRPr="00FA34B5">
        <w:rPr>
          <w:rFonts w:cs="Trebuchet MS"/>
          <w:sz w:val="20"/>
          <w:szCs w:val="18"/>
        </w:rPr>
        <w:t>n</w:t>
      </w:r>
      <w:r w:rsidRPr="00FA34B5">
        <w:rPr>
          <w:rFonts w:cs="Trebuchet MS"/>
          <w:sz w:val="20"/>
          <w:szCs w:val="18"/>
        </w:rPr>
        <w:t xml:space="preserve">struct </w:t>
      </w:r>
      <w:r w:rsidR="00717626" w:rsidRPr="00FA34B5">
        <w:rPr>
          <w:rFonts w:cs="Trebuchet MS"/>
          <w:sz w:val="20"/>
          <w:szCs w:val="18"/>
        </w:rPr>
        <w:t xml:space="preserve">of </w:t>
      </w:r>
      <w:r w:rsidRPr="00FA34B5">
        <w:rPr>
          <w:rFonts w:cs="Trebuchet MS"/>
          <w:sz w:val="20"/>
          <w:szCs w:val="18"/>
        </w:rPr>
        <w:t xml:space="preserve">a more efficient risk adjusted portfolio, </w:t>
      </w:r>
      <w:r w:rsidR="00717626" w:rsidRPr="00FA34B5">
        <w:rPr>
          <w:rFonts w:cs="Trebuchet MS"/>
          <w:sz w:val="20"/>
          <w:szCs w:val="18"/>
        </w:rPr>
        <w:t xml:space="preserve">requires </w:t>
      </w:r>
      <w:r w:rsidRPr="00FA34B5">
        <w:rPr>
          <w:rFonts w:cs="Trebuchet MS"/>
          <w:sz w:val="20"/>
          <w:szCs w:val="18"/>
        </w:rPr>
        <w:t xml:space="preserve">a portfolio </w:t>
      </w:r>
      <w:r w:rsidR="00717626" w:rsidRPr="00FA34B5">
        <w:rPr>
          <w:rFonts w:cs="Trebuchet MS"/>
          <w:sz w:val="20"/>
          <w:szCs w:val="18"/>
        </w:rPr>
        <w:t xml:space="preserve">perfectly </w:t>
      </w:r>
      <w:r w:rsidRPr="00FA34B5">
        <w:rPr>
          <w:rFonts w:cs="Trebuchet MS"/>
          <w:sz w:val="20"/>
          <w:szCs w:val="18"/>
        </w:rPr>
        <w:t>correlat</w:t>
      </w:r>
      <w:r w:rsidR="00717626" w:rsidRPr="00FA34B5">
        <w:rPr>
          <w:rFonts w:cs="Trebuchet MS"/>
          <w:sz w:val="20"/>
          <w:szCs w:val="18"/>
        </w:rPr>
        <w:t>ed</w:t>
      </w:r>
      <w:r w:rsidRPr="00FA34B5">
        <w:rPr>
          <w:rFonts w:cs="Trebuchet MS"/>
          <w:sz w:val="20"/>
          <w:szCs w:val="18"/>
        </w:rPr>
        <w:t xml:space="preserve"> with the market (beta-based), and stocks that showcase the least amount of volatility spill-over effects among each other. </w:t>
      </w:r>
    </w:p>
    <w:p w:rsidR="00D825D2" w:rsidRPr="00FA34B5" w:rsidRDefault="00425125" w:rsidP="009941FF">
      <w:pPr>
        <w:autoSpaceDE w:val="0"/>
        <w:autoSpaceDN w:val="0"/>
        <w:adjustRightInd w:val="0"/>
        <w:spacing w:after="120" w:line="240" w:lineRule="auto"/>
        <w:jc w:val="both"/>
        <w:rPr>
          <w:rFonts w:cs="Trebuchet MS"/>
          <w:sz w:val="20"/>
          <w:szCs w:val="18"/>
        </w:rPr>
      </w:pPr>
      <w:r w:rsidRPr="00FA34B5">
        <w:rPr>
          <w:rFonts w:cs="Trebuchet MS"/>
          <w:sz w:val="20"/>
          <w:szCs w:val="18"/>
        </w:rPr>
        <w:t xml:space="preserve">There </w:t>
      </w:r>
      <w:r w:rsidR="00E235A7" w:rsidRPr="00FA34B5">
        <w:rPr>
          <w:rFonts w:cs="Trebuchet MS"/>
          <w:sz w:val="20"/>
          <w:szCs w:val="18"/>
        </w:rPr>
        <w:t xml:space="preserve">are not many </w:t>
      </w:r>
      <w:r w:rsidRPr="00FA34B5">
        <w:rPr>
          <w:rFonts w:cs="Trebuchet MS"/>
          <w:sz w:val="20"/>
          <w:szCs w:val="18"/>
        </w:rPr>
        <w:t xml:space="preserve">studies which examine the impact of </w:t>
      </w:r>
      <w:r w:rsidR="00E235A7" w:rsidRPr="00FA34B5">
        <w:rPr>
          <w:rFonts w:cs="Trebuchet MS"/>
          <w:sz w:val="20"/>
          <w:szCs w:val="18"/>
        </w:rPr>
        <w:t>volatility spillovers</w:t>
      </w:r>
      <w:r w:rsidRPr="00FA34B5">
        <w:rPr>
          <w:rFonts w:cs="Trebuchet MS"/>
          <w:sz w:val="20"/>
          <w:szCs w:val="18"/>
        </w:rPr>
        <w:t>, so this article is timely, relevant and inte</w:t>
      </w:r>
      <w:r w:rsidRPr="00FA34B5">
        <w:rPr>
          <w:rFonts w:cs="Trebuchet MS"/>
          <w:sz w:val="20"/>
          <w:szCs w:val="18"/>
        </w:rPr>
        <w:t>r</w:t>
      </w:r>
      <w:r w:rsidRPr="00FA34B5">
        <w:rPr>
          <w:rFonts w:cs="Trebuchet MS"/>
          <w:sz w:val="20"/>
          <w:szCs w:val="18"/>
        </w:rPr>
        <w:t xml:space="preserve">esting. The article is of a </w:t>
      </w:r>
      <w:r w:rsidR="00E235A7" w:rsidRPr="00FA34B5">
        <w:rPr>
          <w:rFonts w:cs="Trebuchet MS"/>
          <w:sz w:val="20"/>
          <w:szCs w:val="18"/>
        </w:rPr>
        <w:t xml:space="preserve">very </w:t>
      </w:r>
      <w:r w:rsidRPr="00FA34B5">
        <w:rPr>
          <w:rFonts w:cs="Trebuchet MS"/>
          <w:sz w:val="20"/>
          <w:szCs w:val="18"/>
        </w:rPr>
        <w:t>high standard</w:t>
      </w:r>
      <w:r w:rsidR="00A5018F" w:rsidRPr="00FA34B5">
        <w:rPr>
          <w:rFonts w:cs="Trebuchet MS"/>
          <w:sz w:val="20"/>
          <w:szCs w:val="18"/>
        </w:rPr>
        <w:t>:</w:t>
      </w:r>
      <w:r w:rsidRPr="00FA34B5">
        <w:rPr>
          <w:rFonts w:cs="Trebuchet MS"/>
          <w:sz w:val="20"/>
          <w:szCs w:val="18"/>
        </w:rPr>
        <w:t xml:space="preserve"> </w:t>
      </w:r>
      <w:r w:rsidR="00E235A7" w:rsidRPr="00FA34B5">
        <w:rPr>
          <w:rFonts w:cs="Trebuchet MS"/>
          <w:sz w:val="20"/>
          <w:szCs w:val="18"/>
        </w:rPr>
        <w:t xml:space="preserve">tables are relevant </w:t>
      </w:r>
      <w:r w:rsidRPr="00FA34B5">
        <w:rPr>
          <w:rFonts w:cs="Trebuchet MS"/>
          <w:sz w:val="20"/>
          <w:szCs w:val="18"/>
        </w:rPr>
        <w:t>(well-labelled, clear)</w:t>
      </w:r>
      <w:r w:rsidR="00A5018F" w:rsidRPr="00FA34B5">
        <w:rPr>
          <w:rFonts w:cs="Trebuchet MS"/>
          <w:sz w:val="20"/>
          <w:szCs w:val="18"/>
        </w:rPr>
        <w:t>, the</w:t>
      </w:r>
      <w:r w:rsidRPr="00FA34B5">
        <w:rPr>
          <w:rFonts w:cs="Trebuchet MS"/>
          <w:sz w:val="20"/>
          <w:szCs w:val="18"/>
        </w:rPr>
        <w:t xml:space="preserve"> appendi</w:t>
      </w:r>
      <w:r w:rsidR="00E235A7" w:rsidRPr="00FA34B5">
        <w:rPr>
          <w:rFonts w:cs="Trebuchet MS"/>
          <w:sz w:val="20"/>
          <w:szCs w:val="18"/>
        </w:rPr>
        <w:t>x</w:t>
      </w:r>
      <w:r w:rsidRPr="00FA34B5">
        <w:rPr>
          <w:rFonts w:cs="Trebuchet MS"/>
          <w:sz w:val="20"/>
          <w:szCs w:val="18"/>
        </w:rPr>
        <w:t xml:space="preserve"> </w:t>
      </w:r>
      <w:r w:rsidR="00E235A7" w:rsidRPr="00FA34B5">
        <w:rPr>
          <w:rFonts w:cs="Trebuchet MS"/>
          <w:sz w:val="20"/>
          <w:szCs w:val="18"/>
        </w:rPr>
        <w:t xml:space="preserve">and endnotes </w:t>
      </w:r>
      <w:r w:rsidRPr="00FA34B5">
        <w:rPr>
          <w:rFonts w:cs="Trebuchet MS"/>
          <w:sz w:val="20"/>
          <w:szCs w:val="18"/>
        </w:rPr>
        <w:t>co</w:t>
      </w:r>
      <w:r w:rsidRPr="00FA34B5">
        <w:rPr>
          <w:rFonts w:cs="Trebuchet MS"/>
          <w:sz w:val="20"/>
          <w:szCs w:val="18"/>
        </w:rPr>
        <w:t>n</w:t>
      </w:r>
      <w:r w:rsidRPr="00FA34B5">
        <w:rPr>
          <w:rFonts w:cs="Trebuchet MS"/>
          <w:sz w:val="20"/>
          <w:szCs w:val="18"/>
        </w:rPr>
        <w:t>tain good background information</w:t>
      </w:r>
      <w:r w:rsidR="00A5018F" w:rsidRPr="00FA34B5">
        <w:rPr>
          <w:rFonts w:cs="Trebuchet MS"/>
          <w:sz w:val="20"/>
          <w:szCs w:val="18"/>
        </w:rPr>
        <w:t xml:space="preserve"> and the references are largely Harvard style</w:t>
      </w:r>
      <w:r w:rsidRPr="00FA34B5">
        <w:rPr>
          <w:rFonts w:cs="Trebuchet MS"/>
          <w:sz w:val="20"/>
          <w:szCs w:val="18"/>
        </w:rPr>
        <w:t>. The explanatory arguments are cogent and explanations provided are thoughtful and clear.</w:t>
      </w:r>
    </w:p>
    <w:p w:rsidR="00425125" w:rsidRPr="00FA34B5" w:rsidRDefault="00425125" w:rsidP="009941FF">
      <w:pPr>
        <w:autoSpaceDE w:val="0"/>
        <w:autoSpaceDN w:val="0"/>
        <w:adjustRightInd w:val="0"/>
        <w:spacing w:after="120" w:line="240" w:lineRule="auto"/>
        <w:jc w:val="both"/>
        <w:rPr>
          <w:rFonts w:cs="Trebuchet MS"/>
          <w:sz w:val="20"/>
          <w:szCs w:val="18"/>
        </w:rPr>
      </w:pPr>
      <w:r w:rsidRPr="00FA34B5">
        <w:rPr>
          <w:rFonts w:cs="Trebuchet MS"/>
          <w:sz w:val="20"/>
          <w:szCs w:val="18"/>
        </w:rPr>
        <w:t xml:space="preserve">There are, however, </w:t>
      </w:r>
      <w:r w:rsidR="00E235A7" w:rsidRPr="00FA34B5">
        <w:rPr>
          <w:rFonts w:cs="Trebuchet MS"/>
          <w:sz w:val="20"/>
          <w:szCs w:val="18"/>
        </w:rPr>
        <w:t xml:space="preserve">a few minor </w:t>
      </w:r>
      <w:r w:rsidRPr="00FA34B5">
        <w:rPr>
          <w:rFonts w:cs="Trebuchet MS"/>
          <w:sz w:val="20"/>
          <w:szCs w:val="18"/>
        </w:rPr>
        <w:t xml:space="preserve">issues which </w:t>
      </w:r>
      <w:r w:rsidR="00E235A7" w:rsidRPr="00FA34B5">
        <w:rPr>
          <w:rFonts w:cs="Trebuchet MS"/>
          <w:sz w:val="20"/>
          <w:szCs w:val="18"/>
        </w:rPr>
        <w:t>should be</w:t>
      </w:r>
      <w:r w:rsidRPr="00FA34B5">
        <w:rPr>
          <w:rFonts w:cs="Trebuchet MS"/>
          <w:sz w:val="20"/>
          <w:szCs w:val="18"/>
        </w:rPr>
        <w:t xml:space="preserve"> addressed</w:t>
      </w:r>
      <w:r w:rsidR="00E235A7" w:rsidRPr="00FA34B5">
        <w:rPr>
          <w:rFonts w:cs="Trebuchet MS"/>
          <w:sz w:val="20"/>
          <w:szCs w:val="18"/>
        </w:rPr>
        <w:t xml:space="preserve"> – these are detailed below.</w:t>
      </w:r>
      <w:r w:rsidR="00BD634B" w:rsidRPr="00FA34B5">
        <w:rPr>
          <w:rFonts w:cs="Trebuchet MS"/>
          <w:sz w:val="20"/>
          <w:szCs w:val="18"/>
        </w:rPr>
        <w:t xml:space="preserve"> </w:t>
      </w:r>
    </w:p>
    <w:p w:rsidR="0044769E" w:rsidRPr="00FA34B5" w:rsidRDefault="0044769E" w:rsidP="009941FF">
      <w:pPr>
        <w:autoSpaceDE w:val="0"/>
        <w:autoSpaceDN w:val="0"/>
        <w:adjustRightInd w:val="0"/>
        <w:spacing w:after="120" w:line="240" w:lineRule="auto"/>
        <w:jc w:val="both"/>
        <w:rPr>
          <w:rFonts w:cs="Trebuchet MS"/>
          <w:sz w:val="20"/>
          <w:szCs w:val="18"/>
        </w:rPr>
      </w:pPr>
      <w:r w:rsidRPr="00FA34B5">
        <w:rPr>
          <w:rFonts w:cs="Trebuchet MS"/>
          <w:sz w:val="20"/>
          <w:szCs w:val="18"/>
        </w:rPr>
        <w:t>SAJEMS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4567"/>
      </w:tblGrid>
      <w:tr w:rsidR="00251E97" w:rsidRPr="00FA34B5" w:rsidTr="00251E97">
        <w:trPr>
          <w:trHeight w:val="197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44769E" w:rsidRPr="00FA34B5" w:rsidRDefault="0044769E" w:rsidP="004A408E">
            <w:pPr>
              <w:autoSpaceDE w:val="0"/>
              <w:autoSpaceDN w:val="0"/>
              <w:adjustRightInd w:val="0"/>
              <w:spacing w:before="40" w:after="40"/>
              <w:rPr>
                <w:rFonts w:cs="Trebuchet MS"/>
                <w:sz w:val="20"/>
                <w:szCs w:val="18"/>
              </w:rPr>
            </w:pPr>
            <w:r w:rsidRPr="00FA34B5">
              <w:rPr>
                <w:rFonts w:cs="Trebuchet MS"/>
                <w:sz w:val="20"/>
                <w:szCs w:val="18"/>
              </w:rPr>
              <w:t>1.     Is the research question clear and concise?</w:t>
            </w:r>
          </w:p>
        </w:tc>
        <w:tc>
          <w:tcPr>
            <w:tcW w:w="0" w:type="auto"/>
            <w:vAlign w:val="center"/>
          </w:tcPr>
          <w:p w:rsidR="0044769E" w:rsidRPr="00FA34B5" w:rsidRDefault="0044769E" w:rsidP="004A408E">
            <w:pPr>
              <w:autoSpaceDE w:val="0"/>
              <w:autoSpaceDN w:val="0"/>
              <w:adjustRightInd w:val="0"/>
              <w:spacing w:before="40" w:after="40"/>
              <w:rPr>
                <w:rFonts w:cs="Trebuchet MS"/>
                <w:sz w:val="20"/>
                <w:szCs w:val="18"/>
              </w:rPr>
            </w:pPr>
            <w:r w:rsidRPr="00FA34B5">
              <w:rPr>
                <w:rFonts w:cs="Trebuchet MS"/>
                <w:sz w:val="20"/>
                <w:szCs w:val="18"/>
              </w:rPr>
              <w:t>Yes</w:t>
            </w:r>
          </w:p>
        </w:tc>
      </w:tr>
      <w:tr w:rsidR="00251E97" w:rsidRPr="00FA34B5" w:rsidTr="00251E97">
        <w:trPr>
          <w:trHeight w:val="251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44769E" w:rsidRPr="00FA34B5" w:rsidRDefault="0044769E" w:rsidP="004A408E">
            <w:pPr>
              <w:autoSpaceDE w:val="0"/>
              <w:autoSpaceDN w:val="0"/>
              <w:adjustRightInd w:val="0"/>
              <w:spacing w:before="40" w:after="40"/>
              <w:rPr>
                <w:rFonts w:cs="Trebuchet MS"/>
                <w:sz w:val="20"/>
                <w:szCs w:val="18"/>
              </w:rPr>
            </w:pPr>
            <w:r w:rsidRPr="00FA34B5">
              <w:rPr>
                <w:rFonts w:cs="Trebuchet MS"/>
                <w:sz w:val="20"/>
                <w:szCs w:val="18"/>
              </w:rPr>
              <w:t>2.     Is the research method appropriate to address the r</w:t>
            </w:r>
            <w:r w:rsidRPr="00FA34B5">
              <w:rPr>
                <w:rFonts w:cs="Trebuchet MS"/>
                <w:sz w:val="20"/>
                <w:szCs w:val="18"/>
              </w:rPr>
              <w:t>e</w:t>
            </w:r>
            <w:r w:rsidRPr="00FA34B5">
              <w:rPr>
                <w:rFonts w:cs="Trebuchet MS"/>
                <w:sz w:val="20"/>
                <w:szCs w:val="18"/>
              </w:rPr>
              <w:t>search question?</w:t>
            </w:r>
          </w:p>
        </w:tc>
        <w:tc>
          <w:tcPr>
            <w:tcW w:w="0" w:type="auto"/>
            <w:vAlign w:val="center"/>
          </w:tcPr>
          <w:p w:rsidR="0044769E" w:rsidRPr="00FA34B5" w:rsidRDefault="0044769E" w:rsidP="004A408E">
            <w:pPr>
              <w:autoSpaceDE w:val="0"/>
              <w:autoSpaceDN w:val="0"/>
              <w:adjustRightInd w:val="0"/>
              <w:spacing w:before="40" w:after="40"/>
              <w:rPr>
                <w:rFonts w:cs="Trebuchet MS"/>
                <w:sz w:val="20"/>
                <w:szCs w:val="18"/>
              </w:rPr>
            </w:pPr>
            <w:r w:rsidRPr="00FA34B5">
              <w:rPr>
                <w:rFonts w:cs="Trebuchet MS"/>
                <w:sz w:val="20"/>
                <w:szCs w:val="18"/>
              </w:rPr>
              <w:t>Yes</w:t>
            </w:r>
          </w:p>
        </w:tc>
      </w:tr>
      <w:tr w:rsidR="00251E97" w:rsidRPr="00FA34B5" w:rsidTr="00251E97">
        <w:trPr>
          <w:trHeight w:val="295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44769E" w:rsidRPr="00FA34B5" w:rsidRDefault="0044769E" w:rsidP="004A408E">
            <w:pPr>
              <w:autoSpaceDE w:val="0"/>
              <w:autoSpaceDN w:val="0"/>
              <w:adjustRightInd w:val="0"/>
              <w:spacing w:before="40" w:after="40"/>
              <w:rPr>
                <w:rFonts w:cs="Trebuchet MS"/>
                <w:sz w:val="20"/>
                <w:szCs w:val="18"/>
              </w:rPr>
            </w:pPr>
            <w:r w:rsidRPr="00FA34B5">
              <w:rPr>
                <w:rFonts w:cs="Trebuchet MS"/>
                <w:sz w:val="20"/>
                <w:szCs w:val="18"/>
              </w:rPr>
              <w:t xml:space="preserve">3.     Essentially, is this article suitable for publication in an ISI accredited journal? </w:t>
            </w:r>
          </w:p>
        </w:tc>
        <w:tc>
          <w:tcPr>
            <w:tcW w:w="0" w:type="auto"/>
            <w:vAlign w:val="center"/>
          </w:tcPr>
          <w:p w:rsidR="0044769E" w:rsidRPr="00FA34B5" w:rsidRDefault="000309A3" w:rsidP="004A408E">
            <w:pPr>
              <w:autoSpaceDE w:val="0"/>
              <w:autoSpaceDN w:val="0"/>
              <w:adjustRightInd w:val="0"/>
              <w:spacing w:before="40" w:after="40"/>
              <w:rPr>
                <w:rFonts w:cs="Trebuchet MS"/>
                <w:sz w:val="20"/>
                <w:szCs w:val="18"/>
              </w:rPr>
            </w:pPr>
            <w:r w:rsidRPr="00FA34B5">
              <w:rPr>
                <w:rFonts w:cs="Trebuchet MS"/>
                <w:sz w:val="20"/>
                <w:szCs w:val="18"/>
              </w:rPr>
              <w:t>Yes</w:t>
            </w:r>
          </w:p>
        </w:tc>
      </w:tr>
      <w:tr w:rsidR="00251E97" w:rsidRPr="00FA34B5" w:rsidTr="00251E97">
        <w:trPr>
          <w:trHeight w:val="491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44769E" w:rsidRPr="00FA34B5" w:rsidRDefault="0044769E" w:rsidP="004A408E">
            <w:pPr>
              <w:autoSpaceDE w:val="0"/>
              <w:autoSpaceDN w:val="0"/>
              <w:adjustRightInd w:val="0"/>
              <w:spacing w:before="40" w:after="40"/>
              <w:rPr>
                <w:rFonts w:cs="Trebuchet MS"/>
                <w:sz w:val="20"/>
                <w:szCs w:val="18"/>
              </w:rPr>
            </w:pPr>
            <w:r w:rsidRPr="00FA34B5">
              <w:rPr>
                <w:rFonts w:cs="Trebuchet MS"/>
                <w:sz w:val="20"/>
                <w:szCs w:val="18"/>
              </w:rPr>
              <w:t xml:space="preserve">Please, elaborate by providing feedback on the following points. </w:t>
            </w:r>
            <w:r w:rsidRPr="00FA34B5">
              <w:rPr>
                <w:rFonts w:cs="Trebuchet MS"/>
                <w:sz w:val="20"/>
                <w:szCs w:val="18"/>
              </w:rPr>
              <w:br/>
              <w:t>a.     If it is not suitable, are the necessary adjustments exte</w:t>
            </w:r>
            <w:r w:rsidRPr="00FA34B5">
              <w:rPr>
                <w:rFonts w:cs="Trebuchet MS"/>
                <w:sz w:val="20"/>
                <w:szCs w:val="18"/>
              </w:rPr>
              <w:t>n</w:t>
            </w:r>
            <w:r w:rsidRPr="00FA34B5">
              <w:rPr>
                <w:rFonts w:cs="Trebuchet MS"/>
                <w:sz w:val="20"/>
                <w:szCs w:val="18"/>
              </w:rPr>
              <w:t>sive or minor?  What are those adjustments?</w:t>
            </w:r>
          </w:p>
        </w:tc>
        <w:tc>
          <w:tcPr>
            <w:tcW w:w="0" w:type="auto"/>
            <w:vAlign w:val="center"/>
          </w:tcPr>
          <w:p w:rsidR="0044769E" w:rsidRPr="00FA34B5" w:rsidRDefault="0044769E" w:rsidP="009F3736">
            <w:pPr>
              <w:autoSpaceDE w:val="0"/>
              <w:autoSpaceDN w:val="0"/>
              <w:adjustRightInd w:val="0"/>
              <w:spacing w:before="40" w:after="40"/>
              <w:rPr>
                <w:rFonts w:cs="Trebuchet MS"/>
                <w:sz w:val="20"/>
                <w:szCs w:val="18"/>
              </w:rPr>
            </w:pPr>
            <w:r w:rsidRPr="00FA34B5">
              <w:rPr>
                <w:rFonts w:cs="Trebuchet MS"/>
                <w:sz w:val="20"/>
                <w:szCs w:val="18"/>
              </w:rPr>
              <w:t xml:space="preserve">I recommend publication after the corrections </w:t>
            </w:r>
            <w:r w:rsidR="000309A3" w:rsidRPr="00FA34B5">
              <w:rPr>
                <w:rFonts w:cs="Trebuchet MS"/>
                <w:sz w:val="20"/>
                <w:szCs w:val="18"/>
              </w:rPr>
              <w:t>ou</w:t>
            </w:r>
            <w:r w:rsidR="000309A3" w:rsidRPr="00FA34B5">
              <w:rPr>
                <w:rFonts w:cs="Trebuchet MS"/>
                <w:sz w:val="20"/>
                <w:szCs w:val="18"/>
              </w:rPr>
              <w:t>t</w:t>
            </w:r>
            <w:r w:rsidR="000309A3" w:rsidRPr="00FA34B5">
              <w:rPr>
                <w:rFonts w:cs="Trebuchet MS"/>
                <w:sz w:val="20"/>
                <w:szCs w:val="18"/>
              </w:rPr>
              <w:t xml:space="preserve">lines below </w:t>
            </w:r>
            <w:r w:rsidRPr="00FA34B5">
              <w:rPr>
                <w:rFonts w:cs="Trebuchet MS"/>
                <w:sz w:val="20"/>
                <w:szCs w:val="18"/>
              </w:rPr>
              <w:t xml:space="preserve">have been </w:t>
            </w:r>
            <w:r w:rsidR="009F3736" w:rsidRPr="00FA34B5">
              <w:rPr>
                <w:rFonts w:cs="Trebuchet MS"/>
                <w:sz w:val="20"/>
                <w:szCs w:val="18"/>
              </w:rPr>
              <w:t>addressed</w:t>
            </w:r>
          </w:p>
        </w:tc>
      </w:tr>
      <w:tr w:rsidR="00251E97" w:rsidRPr="00FA34B5" w:rsidTr="00251E97">
        <w:trPr>
          <w:trHeight w:val="447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44769E" w:rsidRPr="00FA34B5" w:rsidRDefault="0044769E" w:rsidP="004A408E">
            <w:pPr>
              <w:autoSpaceDE w:val="0"/>
              <w:autoSpaceDN w:val="0"/>
              <w:adjustRightInd w:val="0"/>
              <w:spacing w:before="40" w:after="40"/>
              <w:rPr>
                <w:rFonts w:cs="Trebuchet MS"/>
                <w:sz w:val="20"/>
                <w:szCs w:val="18"/>
              </w:rPr>
            </w:pPr>
            <w:r w:rsidRPr="00FA34B5">
              <w:rPr>
                <w:rFonts w:cs="Trebuchet MS"/>
                <w:sz w:val="20"/>
                <w:szCs w:val="18"/>
              </w:rPr>
              <w:t>b.     If so, do you have any suggestions for improvement or shortening?  What are those suggestions?</w:t>
            </w:r>
          </w:p>
        </w:tc>
        <w:tc>
          <w:tcPr>
            <w:tcW w:w="0" w:type="auto"/>
            <w:vAlign w:val="center"/>
          </w:tcPr>
          <w:p w:rsidR="0044769E" w:rsidRPr="00FA34B5" w:rsidRDefault="000309A3" w:rsidP="009F3736">
            <w:pPr>
              <w:autoSpaceDE w:val="0"/>
              <w:autoSpaceDN w:val="0"/>
              <w:adjustRightInd w:val="0"/>
              <w:spacing w:before="40" w:after="40"/>
              <w:rPr>
                <w:rFonts w:cs="Trebuchet MS"/>
                <w:sz w:val="20"/>
                <w:szCs w:val="18"/>
              </w:rPr>
            </w:pPr>
            <w:r w:rsidRPr="00FA34B5">
              <w:rPr>
                <w:rFonts w:cs="Trebuchet MS"/>
                <w:sz w:val="20"/>
                <w:szCs w:val="18"/>
              </w:rPr>
              <w:t>No, the article is a good length – not too long and not too short as to omit relevant material</w:t>
            </w:r>
          </w:p>
        </w:tc>
      </w:tr>
    </w:tbl>
    <w:p w:rsidR="009941FF" w:rsidRPr="001872A5" w:rsidRDefault="009941FF" w:rsidP="00BD634B">
      <w:pPr>
        <w:autoSpaceDE w:val="0"/>
        <w:autoSpaceDN w:val="0"/>
        <w:adjustRightInd w:val="0"/>
        <w:spacing w:before="120" w:after="120" w:line="240" w:lineRule="auto"/>
        <w:jc w:val="both"/>
        <w:rPr>
          <w:rFonts w:cs="Trebuchet MS"/>
          <w:b/>
          <w:sz w:val="28"/>
          <w:szCs w:val="18"/>
        </w:rPr>
      </w:pPr>
      <w:r w:rsidRPr="001872A5">
        <w:rPr>
          <w:rFonts w:cs="Trebuchet MS"/>
          <w:b/>
          <w:sz w:val="28"/>
          <w:szCs w:val="18"/>
        </w:rPr>
        <w:t>General comments</w:t>
      </w:r>
    </w:p>
    <w:p w:rsidR="00B16535" w:rsidRPr="0057075A" w:rsidRDefault="00BF6921" w:rsidP="009941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Trebuchet MS"/>
          <w:sz w:val="20"/>
          <w:szCs w:val="18"/>
        </w:rPr>
      </w:pPr>
      <w:r w:rsidRPr="001872A5">
        <w:rPr>
          <w:rFonts w:cs="Trebuchet MS"/>
          <w:sz w:val="20"/>
          <w:szCs w:val="18"/>
        </w:rPr>
        <w:t xml:space="preserve">There are </w:t>
      </w:r>
      <w:r w:rsidR="009A5EEC" w:rsidRPr="001872A5">
        <w:rPr>
          <w:rFonts w:cs="Trebuchet MS"/>
          <w:sz w:val="20"/>
          <w:szCs w:val="18"/>
        </w:rPr>
        <w:t xml:space="preserve">some </w:t>
      </w:r>
      <w:r w:rsidRPr="001872A5">
        <w:rPr>
          <w:rFonts w:cs="Trebuchet MS"/>
          <w:sz w:val="20"/>
          <w:szCs w:val="18"/>
        </w:rPr>
        <w:t xml:space="preserve">grammatical and other 'finishing' errors (tabulated below) which could have been avoided by a </w:t>
      </w:r>
      <w:r w:rsidRPr="0057075A">
        <w:rPr>
          <w:rFonts w:cs="Trebuchet MS"/>
          <w:sz w:val="20"/>
          <w:szCs w:val="18"/>
        </w:rPr>
        <w:t>simple</w:t>
      </w:r>
      <w:r w:rsidR="009A5EEC" w:rsidRPr="0057075A">
        <w:rPr>
          <w:rFonts w:cs="Trebuchet MS"/>
          <w:sz w:val="20"/>
          <w:szCs w:val="18"/>
        </w:rPr>
        <w:t>,</w:t>
      </w:r>
      <w:r w:rsidRPr="0057075A">
        <w:rPr>
          <w:rFonts w:cs="Trebuchet MS"/>
          <w:sz w:val="20"/>
          <w:szCs w:val="18"/>
        </w:rPr>
        <w:t xml:space="preserve"> but careful</w:t>
      </w:r>
      <w:r w:rsidR="009A5EEC" w:rsidRPr="0057075A">
        <w:rPr>
          <w:rFonts w:cs="Trebuchet MS"/>
          <w:sz w:val="20"/>
          <w:szCs w:val="18"/>
        </w:rPr>
        <w:t>,</w:t>
      </w:r>
      <w:r w:rsidRPr="0057075A">
        <w:rPr>
          <w:rFonts w:cs="Trebuchet MS"/>
          <w:sz w:val="20"/>
          <w:szCs w:val="18"/>
        </w:rPr>
        <w:t xml:space="preserve"> proofreading.</w:t>
      </w:r>
    </w:p>
    <w:p w:rsidR="00BF6921" w:rsidRPr="0057075A" w:rsidRDefault="009A5EEC" w:rsidP="009941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Trebuchet MS"/>
          <w:sz w:val="20"/>
          <w:szCs w:val="18"/>
        </w:rPr>
      </w:pPr>
      <w:r w:rsidRPr="0057075A">
        <w:rPr>
          <w:rFonts w:cs="Trebuchet MS"/>
          <w:sz w:val="20"/>
          <w:szCs w:val="18"/>
        </w:rPr>
        <w:t xml:space="preserve">Reference has not been made to the (relevant) article by Beirne et al [Beirne </w:t>
      </w:r>
      <w:r w:rsidR="000B4AD2" w:rsidRPr="0057075A">
        <w:rPr>
          <w:rFonts w:cs="Trebuchet MS"/>
          <w:sz w:val="20"/>
          <w:szCs w:val="18"/>
        </w:rPr>
        <w:t>J, Caporale, G. M., Schulze-Ghattas, M. and Spagnolo, N. 2013. Volatility Spillovers and Contagion from Mature to Emerging Stock Ma</w:t>
      </w:r>
      <w:r w:rsidR="000B4AD2" w:rsidRPr="0057075A">
        <w:rPr>
          <w:rFonts w:cs="Trebuchet MS"/>
          <w:sz w:val="20"/>
          <w:szCs w:val="18"/>
        </w:rPr>
        <w:t>r</w:t>
      </w:r>
      <w:r w:rsidR="000B4AD2" w:rsidRPr="0057075A">
        <w:rPr>
          <w:rFonts w:cs="Trebuchet MS"/>
          <w:sz w:val="20"/>
          <w:szCs w:val="18"/>
        </w:rPr>
        <w:t xml:space="preserve">kets, </w:t>
      </w:r>
      <w:r w:rsidR="000B4AD2" w:rsidRPr="0057075A">
        <w:rPr>
          <w:rFonts w:cs="Trebuchet MS"/>
          <w:i/>
          <w:sz w:val="20"/>
          <w:szCs w:val="18"/>
        </w:rPr>
        <w:t>Review of International Economics</w:t>
      </w:r>
      <w:r w:rsidR="000B4AD2" w:rsidRPr="0057075A">
        <w:rPr>
          <w:rFonts w:cs="Trebuchet MS"/>
          <w:sz w:val="20"/>
          <w:szCs w:val="18"/>
        </w:rPr>
        <w:t>, 21(5), 1060-1075</w:t>
      </w:r>
      <w:r w:rsidRPr="0057075A">
        <w:rPr>
          <w:rFonts w:cs="Trebuchet MS"/>
          <w:sz w:val="20"/>
          <w:szCs w:val="18"/>
        </w:rPr>
        <w:t>]</w:t>
      </w:r>
      <w:r w:rsidR="000B4AD2" w:rsidRPr="0057075A">
        <w:rPr>
          <w:rFonts w:cs="Trebuchet MS"/>
          <w:sz w:val="20"/>
          <w:szCs w:val="18"/>
        </w:rPr>
        <w:t>.</w:t>
      </w:r>
      <w:r w:rsidRPr="0057075A">
        <w:rPr>
          <w:rFonts w:cs="Trebuchet MS"/>
          <w:sz w:val="20"/>
          <w:szCs w:val="18"/>
        </w:rPr>
        <w:t xml:space="preserve"> I believe this article – although 5 years old now – remains a flagship article for volatility spillover effects</w:t>
      </w:r>
      <w:r w:rsidR="000309A3" w:rsidRPr="0057075A">
        <w:rPr>
          <w:rFonts w:cs="Trebuchet MS"/>
          <w:sz w:val="20"/>
          <w:szCs w:val="18"/>
        </w:rPr>
        <w:t xml:space="preserve"> and I believe it would be good to reference it. </w:t>
      </w:r>
    </w:p>
    <w:p w:rsidR="00100456" w:rsidRPr="001872A5" w:rsidRDefault="00100456" w:rsidP="00100456">
      <w:pPr>
        <w:autoSpaceDE w:val="0"/>
        <w:autoSpaceDN w:val="0"/>
        <w:adjustRightInd w:val="0"/>
        <w:spacing w:after="120" w:line="240" w:lineRule="auto"/>
        <w:jc w:val="both"/>
        <w:rPr>
          <w:rFonts w:cs="Trebuchet MS"/>
          <w:b/>
          <w:sz w:val="28"/>
          <w:szCs w:val="18"/>
        </w:rPr>
      </w:pPr>
      <w:r w:rsidRPr="001872A5">
        <w:rPr>
          <w:rFonts w:cs="Trebuchet MS"/>
          <w:b/>
          <w:sz w:val="28"/>
          <w:szCs w:val="18"/>
        </w:rPr>
        <w:t>Technical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8168"/>
      </w:tblGrid>
      <w:tr w:rsidR="0098347B" w:rsidRPr="001872A5" w:rsidTr="009F3736"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347B" w:rsidRPr="001872A5" w:rsidRDefault="0098347B" w:rsidP="009834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rebuchet MS"/>
                <w:b/>
                <w:sz w:val="24"/>
                <w:szCs w:val="18"/>
              </w:rPr>
            </w:pPr>
            <w:r w:rsidRPr="001872A5">
              <w:rPr>
                <w:rFonts w:cs="Trebuchet MS"/>
                <w:b/>
                <w:sz w:val="24"/>
                <w:szCs w:val="18"/>
              </w:rPr>
              <w:t>Position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347B" w:rsidRPr="001872A5" w:rsidRDefault="0098347B" w:rsidP="009834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rebuchet MS"/>
                <w:b/>
                <w:sz w:val="24"/>
                <w:szCs w:val="18"/>
              </w:rPr>
            </w:pPr>
            <w:r w:rsidRPr="001872A5">
              <w:rPr>
                <w:rFonts w:cs="Trebuchet MS"/>
                <w:b/>
                <w:sz w:val="24"/>
                <w:szCs w:val="18"/>
              </w:rPr>
              <w:t>Issue</w:t>
            </w:r>
          </w:p>
        </w:tc>
      </w:tr>
      <w:tr w:rsidR="0098347B" w:rsidRPr="001872A5" w:rsidTr="009F3736">
        <w:tc>
          <w:tcPr>
            <w:tcW w:w="0" w:type="auto"/>
            <w:vAlign w:val="center"/>
          </w:tcPr>
          <w:p w:rsidR="0098347B" w:rsidRPr="001872A5" w:rsidRDefault="00A73467" w:rsidP="0098347B">
            <w:pPr>
              <w:autoSpaceDE w:val="0"/>
              <w:autoSpaceDN w:val="0"/>
              <w:adjustRightInd w:val="0"/>
              <w:spacing w:before="60" w:after="60"/>
              <w:rPr>
                <w:rFonts w:cs="Trebuchet MS"/>
                <w:sz w:val="20"/>
                <w:szCs w:val="18"/>
              </w:rPr>
            </w:pPr>
            <w:r w:rsidRPr="001872A5">
              <w:rPr>
                <w:rFonts w:cs="Trebuchet MS"/>
                <w:sz w:val="20"/>
                <w:szCs w:val="18"/>
              </w:rPr>
              <w:t>1/3 of the way down page 3</w:t>
            </w:r>
          </w:p>
        </w:tc>
        <w:tc>
          <w:tcPr>
            <w:tcW w:w="0" w:type="auto"/>
            <w:vAlign w:val="center"/>
          </w:tcPr>
          <w:p w:rsidR="00A73467" w:rsidRPr="001872A5" w:rsidRDefault="00A73467" w:rsidP="00A73467">
            <w:pPr>
              <w:autoSpaceDE w:val="0"/>
              <w:autoSpaceDN w:val="0"/>
              <w:adjustRightInd w:val="0"/>
              <w:spacing w:before="60" w:after="60"/>
              <w:rPr>
                <w:rFonts w:cs="Trebuchet MS"/>
                <w:sz w:val="20"/>
                <w:szCs w:val="18"/>
              </w:rPr>
            </w:pPr>
            <w:r w:rsidRPr="001872A5">
              <w:rPr>
                <w:rFonts w:cs="Trebuchet MS"/>
                <w:sz w:val="20"/>
                <w:szCs w:val="18"/>
              </w:rPr>
              <w:t xml:space="preserve">"Past four decades" – this must be contextualised. </w:t>
            </w:r>
            <w:r w:rsidRPr="001872A5">
              <w:rPr>
                <w:rFonts w:cs="Trebuchet MS"/>
                <w:i/>
                <w:sz w:val="20"/>
                <w:szCs w:val="18"/>
              </w:rPr>
              <w:t>Which</w:t>
            </w:r>
            <w:r w:rsidRPr="001872A5">
              <w:rPr>
                <w:rFonts w:cs="Trebuchet MS"/>
                <w:sz w:val="20"/>
                <w:szCs w:val="18"/>
              </w:rPr>
              <w:t xml:space="preserve"> past 4 decades?</w:t>
            </w:r>
          </w:p>
        </w:tc>
      </w:tr>
      <w:tr w:rsidR="0098347B" w:rsidRPr="00FA34B5" w:rsidTr="009F3736">
        <w:tc>
          <w:tcPr>
            <w:tcW w:w="0" w:type="auto"/>
            <w:vAlign w:val="center"/>
          </w:tcPr>
          <w:p w:rsidR="0098347B" w:rsidRPr="001872A5" w:rsidRDefault="00F7419E" w:rsidP="008F06D4">
            <w:pPr>
              <w:autoSpaceDE w:val="0"/>
              <w:autoSpaceDN w:val="0"/>
              <w:adjustRightInd w:val="0"/>
              <w:spacing w:before="60" w:after="60"/>
              <w:rPr>
                <w:rFonts w:cs="Trebuchet MS"/>
                <w:sz w:val="20"/>
                <w:szCs w:val="18"/>
              </w:rPr>
            </w:pPr>
            <w:r w:rsidRPr="001872A5">
              <w:rPr>
                <w:rFonts w:cs="Trebuchet MS"/>
                <w:sz w:val="20"/>
                <w:szCs w:val="18"/>
              </w:rPr>
              <w:t>All footnotes in text</w:t>
            </w:r>
          </w:p>
        </w:tc>
        <w:tc>
          <w:tcPr>
            <w:tcW w:w="0" w:type="auto"/>
            <w:vAlign w:val="center"/>
          </w:tcPr>
          <w:p w:rsidR="0098347B" w:rsidRPr="001872A5" w:rsidRDefault="00F7419E" w:rsidP="0098347B">
            <w:pPr>
              <w:autoSpaceDE w:val="0"/>
              <w:autoSpaceDN w:val="0"/>
              <w:adjustRightInd w:val="0"/>
              <w:spacing w:before="60" w:after="60"/>
              <w:rPr>
                <w:rFonts w:cs="Trebuchet MS"/>
                <w:sz w:val="20"/>
                <w:szCs w:val="18"/>
              </w:rPr>
            </w:pPr>
            <w:r w:rsidRPr="001872A5">
              <w:rPr>
                <w:rFonts w:cs="Trebuchet MS"/>
                <w:sz w:val="20"/>
                <w:szCs w:val="18"/>
              </w:rPr>
              <w:t xml:space="preserve">Footnote marks appear </w:t>
            </w:r>
            <w:r w:rsidRPr="001872A5">
              <w:rPr>
                <w:rFonts w:cs="Trebuchet MS"/>
                <w:i/>
                <w:sz w:val="20"/>
                <w:szCs w:val="18"/>
              </w:rPr>
              <w:t>after</w:t>
            </w:r>
            <w:r w:rsidRPr="001872A5">
              <w:rPr>
                <w:rFonts w:cs="Trebuchet MS"/>
                <w:sz w:val="20"/>
                <w:szCs w:val="18"/>
              </w:rPr>
              <w:t xml:space="preserve"> punctuation</w:t>
            </w:r>
          </w:p>
        </w:tc>
      </w:tr>
      <w:tr w:rsidR="0098347B" w:rsidRPr="00FA34B5" w:rsidTr="009F3736">
        <w:tc>
          <w:tcPr>
            <w:tcW w:w="0" w:type="auto"/>
            <w:vAlign w:val="center"/>
          </w:tcPr>
          <w:p w:rsidR="0098347B" w:rsidRPr="001872A5" w:rsidRDefault="00F7419E" w:rsidP="008F06D4">
            <w:pPr>
              <w:autoSpaceDE w:val="0"/>
              <w:autoSpaceDN w:val="0"/>
              <w:adjustRightInd w:val="0"/>
              <w:spacing w:before="60" w:after="60"/>
              <w:rPr>
                <w:rFonts w:cs="Trebuchet MS"/>
                <w:sz w:val="20"/>
                <w:szCs w:val="18"/>
              </w:rPr>
            </w:pPr>
            <w:r w:rsidRPr="001872A5">
              <w:rPr>
                <w:rFonts w:cs="Trebuchet MS"/>
                <w:sz w:val="20"/>
                <w:szCs w:val="18"/>
              </w:rPr>
              <w:t>Equation 2, bo</w:t>
            </w:r>
            <w:r w:rsidRPr="001872A5">
              <w:rPr>
                <w:rFonts w:cs="Trebuchet MS"/>
                <w:sz w:val="20"/>
                <w:szCs w:val="18"/>
              </w:rPr>
              <w:t>t</w:t>
            </w:r>
            <w:r w:rsidRPr="001872A5">
              <w:rPr>
                <w:rFonts w:cs="Trebuchet MS"/>
                <w:sz w:val="20"/>
                <w:szCs w:val="18"/>
              </w:rPr>
              <w:t>tom page 5</w:t>
            </w:r>
          </w:p>
        </w:tc>
        <w:tc>
          <w:tcPr>
            <w:tcW w:w="0" w:type="auto"/>
            <w:vAlign w:val="center"/>
          </w:tcPr>
          <w:p w:rsidR="0098347B" w:rsidRPr="001872A5" w:rsidRDefault="00F7419E" w:rsidP="00F7419E">
            <w:pPr>
              <w:autoSpaceDE w:val="0"/>
              <w:autoSpaceDN w:val="0"/>
              <w:adjustRightInd w:val="0"/>
              <w:spacing w:before="60" w:after="60"/>
              <w:rPr>
                <w:rFonts w:cs="Trebuchet MS"/>
                <w:sz w:val="20"/>
                <w:szCs w:val="18"/>
              </w:rPr>
            </w:pPr>
            <w:r w:rsidRPr="001872A5">
              <w:rPr>
                <w:rFonts w:cs="Trebuchet MS"/>
                <w:sz w:val="20"/>
                <w:szCs w:val="18"/>
              </w:rPr>
              <w:t>I think the "alt" may be a typo. If not, it has not [but should be] defined</w:t>
            </w:r>
          </w:p>
        </w:tc>
      </w:tr>
      <w:tr w:rsidR="000A2BAB" w:rsidRPr="00FA34B5" w:rsidTr="009F3736">
        <w:tc>
          <w:tcPr>
            <w:tcW w:w="0" w:type="auto"/>
            <w:vAlign w:val="center"/>
          </w:tcPr>
          <w:p w:rsidR="000A2BAB" w:rsidRPr="00FA34B5" w:rsidRDefault="00F7419E" w:rsidP="008F06D4">
            <w:pPr>
              <w:autoSpaceDE w:val="0"/>
              <w:autoSpaceDN w:val="0"/>
              <w:adjustRightInd w:val="0"/>
              <w:spacing w:before="60" w:after="60"/>
              <w:rPr>
                <w:rFonts w:cs="Trebuchet MS"/>
                <w:sz w:val="20"/>
                <w:szCs w:val="18"/>
                <w:highlight w:val="yellow"/>
              </w:rPr>
            </w:pPr>
            <w:r w:rsidRPr="00C37B97">
              <w:rPr>
                <w:rFonts w:cs="Trebuchet MS"/>
                <w:sz w:val="20"/>
                <w:szCs w:val="18"/>
              </w:rPr>
              <w:t>Equation 3 – page 6</w:t>
            </w:r>
          </w:p>
        </w:tc>
        <w:tc>
          <w:tcPr>
            <w:tcW w:w="0" w:type="auto"/>
            <w:vAlign w:val="center"/>
          </w:tcPr>
          <w:p w:rsidR="000A2BAB" w:rsidRPr="0057075A" w:rsidRDefault="00F7419E" w:rsidP="00C37B97">
            <w:pPr>
              <w:autoSpaceDE w:val="0"/>
              <w:autoSpaceDN w:val="0"/>
              <w:adjustRightInd w:val="0"/>
              <w:spacing w:before="60" w:after="60"/>
              <w:rPr>
                <w:rFonts w:cs="Trebuchet MS"/>
                <w:sz w:val="20"/>
                <w:szCs w:val="18"/>
              </w:rPr>
            </w:pPr>
            <w:r w:rsidRPr="0057075A">
              <w:rPr>
                <w:rFonts w:cs="Trebuchet MS"/>
                <w:sz w:val="20"/>
                <w:szCs w:val="18"/>
              </w:rPr>
              <w:t xml:space="preserve">Not all variables defined (e.g. </w:t>
            </w:r>
            <m:oMath>
              <m:sSub>
                <m:sSubPr>
                  <m:ctrlPr>
                    <w:rPr>
                      <w:rFonts w:ascii="Cambria Math" w:hAnsi="Cambria Math" w:cs="Trebuchet MS"/>
                      <w:i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rebuchet MS"/>
                      <w:sz w:val="20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hAnsi="Cambria Math" w:cs="Trebuchet MS"/>
                      <w:sz w:val="20"/>
                      <w:szCs w:val="18"/>
                    </w:rPr>
                    <m:t>2</m:t>
                  </m:r>
                </m:sub>
              </m:sSub>
            </m:oMath>
            <w:r w:rsidRPr="0057075A">
              <w:rPr>
                <w:rFonts w:cs="Trebuchet MS"/>
                <w:sz w:val="20"/>
                <w:szCs w:val="18"/>
              </w:rPr>
              <w:t>)</w:t>
            </w:r>
            <w:r w:rsidR="00C37B97" w:rsidRPr="0057075A">
              <w:rPr>
                <w:rFonts w:cs="Trebuchet MS"/>
                <w:sz w:val="20"/>
                <w:szCs w:val="18"/>
              </w:rPr>
              <w:t xml:space="preserve"> – </w:t>
            </w:r>
            <m:oMath>
              <m:sSub>
                <m:sSubPr>
                  <m:ctrlPr>
                    <w:rPr>
                      <w:rFonts w:ascii="Cambria Math" w:hAnsi="Cambria Math" w:cs="Trebuchet MS"/>
                      <w:i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rebuchet MS"/>
                      <w:sz w:val="20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hAnsi="Cambria Math" w:cs="Trebuchet MS"/>
                      <w:sz w:val="20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 w:cs="Trebuchet MS"/>
                  <w:sz w:val="20"/>
                  <w:szCs w:val="18"/>
                </w:rPr>
                <m:t xml:space="preserve"> </m:t>
              </m:r>
            </m:oMath>
            <w:r w:rsidR="00C37B97" w:rsidRPr="0057075A">
              <w:rPr>
                <w:rFonts w:cs="Trebuchet MS"/>
                <w:sz w:val="20"/>
                <w:szCs w:val="18"/>
              </w:rPr>
              <w:t xml:space="preserve"> is the intercept and is never defined in journal articles </w:t>
            </w:r>
          </w:p>
        </w:tc>
      </w:tr>
      <w:tr w:rsidR="000A2BAB" w:rsidRPr="00FA34B5" w:rsidTr="009F3736">
        <w:tc>
          <w:tcPr>
            <w:tcW w:w="0" w:type="auto"/>
            <w:vAlign w:val="center"/>
          </w:tcPr>
          <w:p w:rsidR="000A2BAB" w:rsidRPr="00E6466E" w:rsidRDefault="00F7419E" w:rsidP="00F7419E">
            <w:pPr>
              <w:autoSpaceDE w:val="0"/>
              <w:autoSpaceDN w:val="0"/>
              <w:adjustRightInd w:val="0"/>
              <w:spacing w:before="60" w:after="60"/>
              <w:rPr>
                <w:rFonts w:cs="Trebuchet MS"/>
                <w:sz w:val="20"/>
                <w:szCs w:val="18"/>
              </w:rPr>
            </w:pPr>
            <w:r w:rsidRPr="00E6466E">
              <w:rPr>
                <w:rFonts w:cs="Trebuchet MS"/>
                <w:sz w:val="20"/>
                <w:szCs w:val="18"/>
              </w:rPr>
              <w:t>Equation 4</w:t>
            </w:r>
          </w:p>
        </w:tc>
        <w:tc>
          <w:tcPr>
            <w:tcW w:w="0" w:type="auto"/>
            <w:vAlign w:val="center"/>
          </w:tcPr>
          <w:p w:rsidR="000A2BAB" w:rsidRPr="0057075A" w:rsidRDefault="00F7419E" w:rsidP="00F7419E">
            <w:pPr>
              <w:autoSpaceDE w:val="0"/>
              <w:autoSpaceDN w:val="0"/>
              <w:adjustRightInd w:val="0"/>
              <w:spacing w:before="60" w:after="60"/>
              <w:rPr>
                <w:rFonts w:cs="Trebuchet MS"/>
                <w:sz w:val="20"/>
                <w:szCs w:val="18"/>
              </w:rPr>
            </w:pPr>
            <m:oMath>
              <m:r>
                <w:rPr>
                  <w:rFonts w:ascii="Cambria Math" w:hAnsi="Cambria Math" w:cs="Trebuchet MS"/>
                  <w:sz w:val="20"/>
                  <w:szCs w:val="18"/>
                </w:rPr>
                <m:t>δ</m:t>
              </m:r>
            </m:oMath>
            <w:r w:rsidRPr="0057075A">
              <w:rPr>
                <w:rFonts w:eastAsiaTheme="minorEastAsia" w:cs="Trebuchet MS"/>
                <w:sz w:val="20"/>
                <w:szCs w:val="18"/>
              </w:rPr>
              <w:t xml:space="preserve"> not defined, </w:t>
            </w:r>
            <m:oMath>
              <m:r>
                <w:rPr>
                  <w:rFonts w:ascii="Cambria Math" w:eastAsiaTheme="minorEastAsia" w:hAnsi="Cambria Math" w:cs="Trebuchet MS"/>
                  <w:sz w:val="20"/>
                  <w:szCs w:val="18"/>
                </w:rPr>
                <m:t>γ</m:t>
              </m:r>
            </m:oMath>
            <w:r w:rsidRPr="0057075A">
              <w:rPr>
                <w:rFonts w:eastAsiaTheme="minorEastAsia" w:cs="Trebuchet MS"/>
                <w:sz w:val="20"/>
                <w:szCs w:val="18"/>
              </w:rPr>
              <w:t xml:space="preserve"> not defined</w:t>
            </w:r>
          </w:p>
        </w:tc>
      </w:tr>
      <w:tr w:rsidR="000A2BAB" w:rsidRPr="00FA34B5" w:rsidTr="009F3736">
        <w:tc>
          <w:tcPr>
            <w:tcW w:w="0" w:type="auto"/>
            <w:vAlign w:val="center"/>
          </w:tcPr>
          <w:p w:rsidR="000A2BAB" w:rsidRPr="00E6466E" w:rsidRDefault="00F7419E" w:rsidP="0098347B">
            <w:pPr>
              <w:autoSpaceDE w:val="0"/>
              <w:autoSpaceDN w:val="0"/>
              <w:adjustRightInd w:val="0"/>
              <w:spacing w:before="60" w:after="60"/>
              <w:rPr>
                <w:rFonts w:cs="Trebuchet MS"/>
                <w:sz w:val="20"/>
                <w:szCs w:val="18"/>
              </w:rPr>
            </w:pPr>
            <w:r w:rsidRPr="00E6466E">
              <w:rPr>
                <w:rFonts w:cs="Trebuchet MS"/>
                <w:sz w:val="20"/>
                <w:szCs w:val="18"/>
              </w:rPr>
              <w:t>Page 7 – "Data" section</w:t>
            </w:r>
          </w:p>
        </w:tc>
        <w:tc>
          <w:tcPr>
            <w:tcW w:w="0" w:type="auto"/>
            <w:vAlign w:val="center"/>
          </w:tcPr>
          <w:p w:rsidR="000A2BAB" w:rsidRPr="0057075A" w:rsidRDefault="00F7419E" w:rsidP="00F7419E">
            <w:pPr>
              <w:autoSpaceDE w:val="0"/>
              <w:autoSpaceDN w:val="0"/>
              <w:adjustRightInd w:val="0"/>
              <w:spacing w:before="60" w:after="60"/>
              <w:rPr>
                <w:rFonts w:cs="Trebuchet MS"/>
                <w:sz w:val="20"/>
                <w:szCs w:val="18"/>
              </w:rPr>
            </w:pPr>
            <w:r w:rsidRPr="0057075A">
              <w:rPr>
                <w:rFonts w:cs="Trebuchet MS"/>
                <w:sz w:val="20"/>
                <w:szCs w:val="18"/>
              </w:rPr>
              <w:t xml:space="preserve">Annoying reference to </w:t>
            </w:r>
            <w:r w:rsidRPr="0057075A">
              <w:rPr>
                <w:rFonts w:cs="Trebuchet MS"/>
                <w:i/>
                <w:sz w:val="20"/>
                <w:szCs w:val="18"/>
              </w:rPr>
              <w:t>data</w:t>
            </w:r>
            <w:r w:rsidRPr="0057075A">
              <w:rPr>
                <w:rFonts w:cs="Trebuchet MS"/>
                <w:sz w:val="20"/>
                <w:szCs w:val="18"/>
              </w:rPr>
              <w:t xml:space="preserve"> as a singular noun. Data means number</w:t>
            </w:r>
            <w:r w:rsidRPr="0057075A">
              <w:rPr>
                <w:rFonts w:cs="Trebuchet MS"/>
                <w:b/>
                <w:sz w:val="20"/>
                <w:szCs w:val="18"/>
              </w:rPr>
              <w:t>S</w:t>
            </w:r>
            <w:r w:rsidRPr="0057075A">
              <w:rPr>
                <w:rFonts w:cs="Trebuchet MS"/>
                <w:sz w:val="20"/>
                <w:szCs w:val="18"/>
              </w:rPr>
              <w:t xml:space="preserve"> – plural – so "the data used in this study </w:t>
            </w:r>
            <w:r w:rsidRPr="0057075A">
              <w:rPr>
                <w:rFonts w:cs="Trebuchet MS"/>
                <w:sz w:val="20"/>
                <w:szCs w:val="18"/>
                <w:u w:val="single"/>
              </w:rPr>
              <w:t>consist</w:t>
            </w:r>
            <w:r w:rsidRPr="0057075A">
              <w:rPr>
                <w:rFonts w:cs="Trebuchet MS"/>
                <w:sz w:val="20"/>
                <w:szCs w:val="18"/>
              </w:rPr>
              <w:t xml:space="preserve"> of …" and "the data for each of these stocks </w:t>
            </w:r>
            <w:r w:rsidRPr="0057075A">
              <w:rPr>
                <w:rFonts w:cs="Trebuchet MS"/>
                <w:sz w:val="20"/>
                <w:szCs w:val="18"/>
                <w:u w:val="single"/>
              </w:rPr>
              <w:t>span</w:t>
            </w:r>
            <w:r w:rsidRPr="0057075A">
              <w:rPr>
                <w:rFonts w:cs="Trebuchet MS"/>
                <w:sz w:val="20"/>
                <w:szCs w:val="18"/>
              </w:rPr>
              <w:t xml:space="preserve"> a period…"</w:t>
            </w:r>
          </w:p>
        </w:tc>
      </w:tr>
      <w:tr w:rsidR="00F7419E" w:rsidRPr="0098347B" w:rsidTr="009F3736">
        <w:tc>
          <w:tcPr>
            <w:tcW w:w="0" w:type="auto"/>
            <w:vAlign w:val="center"/>
          </w:tcPr>
          <w:p w:rsidR="00F7419E" w:rsidRPr="0057075A" w:rsidRDefault="00F7419E" w:rsidP="0098347B">
            <w:pPr>
              <w:autoSpaceDE w:val="0"/>
              <w:autoSpaceDN w:val="0"/>
              <w:adjustRightInd w:val="0"/>
              <w:spacing w:before="60" w:after="60"/>
              <w:rPr>
                <w:rFonts w:cs="Trebuchet MS"/>
                <w:sz w:val="20"/>
                <w:szCs w:val="18"/>
              </w:rPr>
            </w:pPr>
            <w:r w:rsidRPr="0057075A">
              <w:rPr>
                <w:rFonts w:cs="Trebuchet MS"/>
                <w:sz w:val="20"/>
                <w:szCs w:val="18"/>
              </w:rPr>
              <w:lastRenderedPageBreak/>
              <w:t>All tables after Table 1 – starting with Table 2 p9</w:t>
            </w:r>
          </w:p>
        </w:tc>
        <w:tc>
          <w:tcPr>
            <w:tcW w:w="0" w:type="auto"/>
            <w:vAlign w:val="center"/>
          </w:tcPr>
          <w:p w:rsidR="00F7419E" w:rsidRPr="005F0E26" w:rsidRDefault="00F7419E" w:rsidP="00F7419E">
            <w:pPr>
              <w:autoSpaceDE w:val="0"/>
              <w:autoSpaceDN w:val="0"/>
              <w:adjustRightInd w:val="0"/>
              <w:spacing w:before="60" w:after="60"/>
              <w:rPr>
                <w:rFonts w:cs="Trebuchet MS"/>
                <w:sz w:val="20"/>
                <w:szCs w:val="18"/>
              </w:rPr>
            </w:pPr>
            <w:r w:rsidRPr="005F0E26">
              <w:rPr>
                <w:rFonts w:cs="Trebuchet MS"/>
                <w:sz w:val="20"/>
                <w:szCs w:val="18"/>
              </w:rPr>
              <w:t>Too many decimal points for kurtosis, 2 would suffice. This is not a mere pedantic comment – it is difficult to extract relevant information from the data if they are cluttered with irrelevant and unnecessary decimal place accuracy (which is at best spurious in any case). A kurtosis of 5.1929 tells the reader NOTHING more than a reported kurtosis of 5.2.</w:t>
            </w:r>
          </w:p>
          <w:p w:rsidR="00582E99" w:rsidRPr="005F0E26" w:rsidRDefault="00582E99" w:rsidP="00582E99">
            <w:pPr>
              <w:autoSpaceDE w:val="0"/>
              <w:autoSpaceDN w:val="0"/>
              <w:adjustRightInd w:val="0"/>
              <w:spacing w:before="60" w:after="60"/>
              <w:rPr>
                <w:rFonts w:cs="Trebuchet MS"/>
                <w:sz w:val="20"/>
                <w:szCs w:val="18"/>
              </w:rPr>
            </w:pPr>
            <w:r w:rsidRPr="005F0E26">
              <w:rPr>
                <w:rFonts w:cs="Trebuchet MS"/>
                <w:sz w:val="20"/>
                <w:szCs w:val="18"/>
              </w:rPr>
              <w:t>The same applies to the skewness – and the number of decimal points used is inconsistent in T</w:t>
            </w:r>
            <w:r w:rsidRPr="005F0E26">
              <w:rPr>
                <w:rFonts w:cs="Trebuchet MS"/>
                <w:sz w:val="20"/>
                <w:szCs w:val="18"/>
              </w:rPr>
              <w:t>a</w:t>
            </w:r>
            <w:r w:rsidRPr="005F0E26">
              <w:rPr>
                <w:rFonts w:cs="Trebuchet MS"/>
                <w:sz w:val="20"/>
                <w:szCs w:val="18"/>
              </w:rPr>
              <w:t>ble 2 anyway (sometimes 3 sometimes 4 decimal places). All but one are unnecessary</w:t>
            </w:r>
          </w:p>
          <w:p w:rsidR="00582E99" w:rsidRPr="005F0E26" w:rsidRDefault="00582E99" w:rsidP="00582E99">
            <w:pPr>
              <w:autoSpaceDE w:val="0"/>
              <w:autoSpaceDN w:val="0"/>
              <w:adjustRightInd w:val="0"/>
              <w:spacing w:before="60" w:after="60"/>
              <w:rPr>
                <w:rFonts w:cs="Trebuchet MS"/>
                <w:sz w:val="20"/>
                <w:szCs w:val="18"/>
              </w:rPr>
            </w:pPr>
            <w:r w:rsidRPr="005F0E26">
              <w:rPr>
                <w:rFonts w:cs="Trebuchet MS"/>
                <w:sz w:val="20"/>
                <w:szCs w:val="18"/>
              </w:rPr>
              <w:t>And the same applies to beta in Table 3 – a beta of 0.7005 conveys no more (useful) information than a reported beta of 0.70.</w:t>
            </w:r>
          </w:p>
        </w:tc>
      </w:tr>
    </w:tbl>
    <w:p w:rsidR="0098347B" w:rsidRDefault="0098347B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sz w:val="20"/>
          <w:szCs w:val="18"/>
        </w:rPr>
      </w:pPr>
    </w:p>
    <w:p w:rsidR="00F275AB" w:rsidRPr="00F275AB" w:rsidRDefault="00F275AB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b/>
          <w:sz w:val="20"/>
          <w:szCs w:val="18"/>
        </w:rPr>
      </w:pPr>
      <w:r w:rsidRPr="00F275AB">
        <w:rPr>
          <w:rFonts w:cs="Trebuchet MS"/>
          <w:b/>
          <w:sz w:val="20"/>
          <w:szCs w:val="18"/>
        </w:rPr>
        <w:t>Issue</w:t>
      </w:r>
      <w:r w:rsidR="00C70E0C">
        <w:rPr>
          <w:rFonts w:cs="Trebuchet MS"/>
          <w:b/>
          <w:sz w:val="20"/>
          <w:szCs w:val="18"/>
        </w:rPr>
        <w:t xml:space="preserve"> 1</w:t>
      </w:r>
    </w:p>
    <w:p w:rsidR="00F275AB" w:rsidRDefault="00F275AB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sz w:val="20"/>
          <w:szCs w:val="18"/>
        </w:rPr>
      </w:pPr>
      <w:r w:rsidRPr="00F275AB">
        <w:rPr>
          <w:rFonts w:cs="Trebuchet MS"/>
          <w:sz w:val="20"/>
          <w:szCs w:val="18"/>
        </w:rPr>
        <w:t>1/3 of the way down page 3 "Past four decades" – this must be contextualised. Which past 4 decades?</w:t>
      </w:r>
    </w:p>
    <w:p w:rsidR="00F275AB" w:rsidRDefault="00F275AB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sz w:val="20"/>
          <w:szCs w:val="18"/>
        </w:rPr>
      </w:pPr>
    </w:p>
    <w:p w:rsidR="00F275AB" w:rsidRPr="00F275AB" w:rsidRDefault="00F275AB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b/>
          <w:sz w:val="20"/>
          <w:szCs w:val="18"/>
        </w:rPr>
      </w:pPr>
      <w:r w:rsidRPr="00F275AB">
        <w:rPr>
          <w:rFonts w:cs="Trebuchet MS"/>
          <w:b/>
          <w:sz w:val="20"/>
          <w:szCs w:val="18"/>
        </w:rPr>
        <w:t>Reply</w:t>
      </w:r>
    </w:p>
    <w:p w:rsidR="00F275AB" w:rsidRDefault="00F275AB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sz w:val="20"/>
          <w:szCs w:val="18"/>
        </w:rPr>
      </w:pPr>
      <w:r>
        <w:rPr>
          <w:rFonts w:cs="Trebuchet MS"/>
          <w:sz w:val="20"/>
          <w:szCs w:val="18"/>
        </w:rPr>
        <w:t xml:space="preserve">We agree with </w:t>
      </w:r>
      <w:r w:rsidR="00A1799F">
        <w:rPr>
          <w:rFonts w:cs="Trebuchet MS"/>
          <w:sz w:val="20"/>
          <w:szCs w:val="18"/>
        </w:rPr>
        <w:t>r</w:t>
      </w:r>
      <w:r>
        <w:rPr>
          <w:rFonts w:cs="Trebuchet MS"/>
          <w:sz w:val="20"/>
          <w:szCs w:val="18"/>
        </w:rPr>
        <w:t>eviewer A. This is ambiguous and it was changed to “</w:t>
      </w:r>
      <w:r w:rsidRPr="00F275AB">
        <w:rPr>
          <w:rFonts w:cs="Trebuchet MS"/>
          <w:i/>
          <w:sz w:val="20"/>
          <w:szCs w:val="18"/>
        </w:rPr>
        <w:t>a theory feverously debated in the literature since the early 1970s</w:t>
      </w:r>
      <w:r>
        <w:rPr>
          <w:rFonts w:cs="Trebuchet MS"/>
          <w:sz w:val="20"/>
          <w:szCs w:val="18"/>
        </w:rPr>
        <w:t>”</w:t>
      </w:r>
    </w:p>
    <w:p w:rsidR="00A1799F" w:rsidRDefault="00A1799F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b/>
          <w:sz w:val="20"/>
          <w:szCs w:val="18"/>
        </w:rPr>
      </w:pPr>
    </w:p>
    <w:p w:rsidR="00C70E0C" w:rsidRDefault="00C70E0C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b/>
          <w:sz w:val="20"/>
          <w:szCs w:val="18"/>
        </w:rPr>
      </w:pPr>
    </w:p>
    <w:p w:rsidR="00A1799F" w:rsidRPr="00F275AB" w:rsidRDefault="00A1799F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b/>
          <w:sz w:val="20"/>
          <w:szCs w:val="18"/>
        </w:rPr>
      </w:pPr>
      <w:r w:rsidRPr="00F275AB">
        <w:rPr>
          <w:rFonts w:cs="Trebuchet MS"/>
          <w:b/>
          <w:sz w:val="20"/>
          <w:szCs w:val="18"/>
        </w:rPr>
        <w:t>Issue</w:t>
      </w:r>
      <w:r w:rsidR="00C70E0C">
        <w:rPr>
          <w:rFonts w:cs="Trebuchet MS"/>
          <w:b/>
          <w:sz w:val="20"/>
          <w:szCs w:val="18"/>
        </w:rPr>
        <w:t xml:space="preserve"> 2</w:t>
      </w:r>
    </w:p>
    <w:p w:rsidR="00A1799F" w:rsidRDefault="00A1799F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sz w:val="20"/>
          <w:szCs w:val="18"/>
        </w:rPr>
      </w:pPr>
      <w:r w:rsidRPr="00A1799F">
        <w:rPr>
          <w:rFonts w:cs="Trebuchet MS"/>
          <w:sz w:val="20"/>
          <w:szCs w:val="18"/>
        </w:rPr>
        <w:t>Footnote marks appear after punctuation</w:t>
      </w:r>
    </w:p>
    <w:p w:rsidR="00A1799F" w:rsidRDefault="00A1799F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sz w:val="20"/>
          <w:szCs w:val="18"/>
        </w:rPr>
      </w:pPr>
    </w:p>
    <w:p w:rsidR="00A1799F" w:rsidRPr="00F275AB" w:rsidRDefault="00A1799F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b/>
          <w:sz w:val="20"/>
          <w:szCs w:val="18"/>
        </w:rPr>
      </w:pPr>
      <w:r w:rsidRPr="00F275AB">
        <w:rPr>
          <w:rFonts w:cs="Trebuchet MS"/>
          <w:b/>
          <w:sz w:val="20"/>
          <w:szCs w:val="18"/>
        </w:rPr>
        <w:t>Reply</w:t>
      </w:r>
    </w:p>
    <w:p w:rsidR="00A1799F" w:rsidRDefault="00A1799F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sz w:val="20"/>
          <w:szCs w:val="18"/>
        </w:rPr>
      </w:pPr>
      <w:r>
        <w:rPr>
          <w:rFonts w:cs="Trebuchet MS"/>
          <w:sz w:val="20"/>
          <w:szCs w:val="18"/>
        </w:rPr>
        <w:t>This was changed as requested by reviewer A.</w:t>
      </w:r>
    </w:p>
    <w:p w:rsidR="00A1799F" w:rsidRDefault="00A1799F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b/>
          <w:sz w:val="20"/>
          <w:szCs w:val="18"/>
        </w:rPr>
      </w:pPr>
    </w:p>
    <w:p w:rsidR="00C70E0C" w:rsidRDefault="00C70E0C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b/>
          <w:sz w:val="20"/>
          <w:szCs w:val="18"/>
        </w:rPr>
      </w:pPr>
    </w:p>
    <w:p w:rsidR="00A1799F" w:rsidRPr="00F275AB" w:rsidRDefault="00A1799F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b/>
          <w:sz w:val="20"/>
          <w:szCs w:val="18"/>
        </w:rPr>
      </w:pPr>
      <w:r w:rsidRPr="00F275AB">
        <w:rPr>
          <w:rFonts w:cs="Trebuchet MS"/>
          <w:b/>
          <w:sz w:val="20"/>
          <w:szCs w:val="18"/>
        </w:rPr>
        <w:t>Issue</w:t>
      </w:r>
      <w:r w:rsidR="00C70E0C">
        <w:rPr>
          <w:rFonts w:cs="Trebuchet MS"/>
          <w:b/>
          <w:sz w:val="20"/>
          <w:szCs w:val="18"/>
        </w:rPr>
        <w:t xml:space="preserve"> 3</w:t>
      </w:r>
    </w:p>
    <w:p w:rsidR="00A1799F" w:rsidRDefault="00A1799F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sz w:val="20"/>
          <w:szCs w:val="18"/>
        </w:rPr>
      </w:pPr>
      <w:r w:rsidRPr="00A1799F">
        <w:rPr>
          <w:rFonts w:cs="Trebuchet MS"/>
          <w:sz w:val="20"/>
          <w:szCs w:val="18"/>
        </w:rPr>
        <w:t>Equation 2, bottom page 5. I think the "alt" may be a typo. If not, it has not [but should be] defined</w:t>
      </w:r>
      <w:r>
        <w:rPr>
          <w:rFonts w:cs="Trebuchet MS"/>
          <w:sz w:val="20"/>
          <w:szCs w:val="18"/>
        </w:rPr>
        <w:t>.</w:t>
      </w:r>
    </w:p>
    <w:p w:rsidR="00A1799F" w:rsidRDefault="00A1799F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sz w:val="20"/>
          <w:szCs w:val="18"/>
        </w:rPr>
      </w:pPr>
    </w:p>
    <w:p w:rsidR="00A1799F" w:rsidRPr="00F275AB" w:rsidRDefault="00A1799F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b/>
          <w:sz w:val="20"/>
          <w:szCs w:val="18"/>
        </w:rPr>
      </w:pPr>
      <w:r w:rsidRPr="00F275AB">
        <w:rPr>
          <w:rFonts w:cs="Trebuchet MS"/>
          <w:b/>
          <w:sz w:val="20"/>
          <w:szCs w:val="18"/>
        </w:rPr>
        <w:t>Reply</w:t>
      </w:r>
    </w:p>
    <w:p w:rsidR="00A1799F" w:rsidRDefault="00C70E0C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sz w:val="20"/>
          <w:szCs w:val="18"/>
        </w:rPr>
      </w:pPr>
      <w:r>
        <w:rPr>
          <w:rFonts w:cs="Trebuchet MS"/>
          <w:sz w:val="20"/>
          <w:szCs w:val="18"/>
        </w:rPr>
        <w:t>Alt was defined as requested by reviewer A:</w:t>
      </w:r>
      <w:r w:rsidRPr="00C70E0C">
        <w:rPr>
          <w:rFonts w:cs="Trebuchet MS"/>
          <w:sz w:val="20"/>
          <w:szCs w:val="18"/>
        </w:rPr>
        <w:t xml:space="preserve"> </w:t>
      </w:r>
      <w:r>
        <w:rPr>
          <w:rFonts w:cs="Trebuchet MS"/>
          <w:sz w:val="20"/>
          <w:szCs w:val="18"/>
        </w:rPr>
        <w:t>“</w:t>
      </w:r>
      <w:r w:rsidRPr="00C70E0C">
        <w:rPr>
          <w:rFonts w:cs="Trebuchet MS"/>
          <w:i/>
          <w:sz w:val="20"/>
          <w:szCs w:val="18"/>
        </w:rPr>
        <w:t>the AS model, the alternative stock returns (AltS) in a given portfolio is specified as</w:t>
      </w:r>
      <w:r>
        <w:rPr>
          <w:rFonts w:cs="Trebuchet MS"/>
          <w:sz w:val="20"/>
          <w:szCs w:val="18"/>
        </w:rPr>
        <w:t xml:space="preserve">...” </w:t>
      </w:r>
    </w:p>
    <w:p w:rsidR="00A1799F" w:rsidRDefault="00A1799F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sz w:val="20"/>
          <w:szCs w:val="18"/>
        </w:rPr>
      </w:pPr>
    </w:p>
    <w:p w:rsidR="00C70E0C" w:rsidRDefault="00C70E0C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sz w:val="20"/>
          <w:szCs w:val="18"/>
        </w:rPr>
      </w:pPr>
    </w:p>
    <w:p w:rsidR="00C70E0C" w:rsidRPr="00C70E0C" w:rsidRDefault="00C70E0C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b/>
          <w:sz w:val="20"/>
          <w:szCs w:val="18"/>
        </w:rPr>
      </w:pPr>
      <w:r w:rsidRPr="00C70E0C">
        <w:rPr>
          <w:rFonts w:cs="Trebuchet MS"/>
          <w:b/>
          <w:sz w:val="20"/>
          <w:szCs w:val="18"/>
        </w:rPr>
        <w:t>Issue 4</w:t>
      </w:r>
    </w:p>
    <w:p w:rsidR="00C70E0C" w:rsidRDefault="00C70E0C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sz w:val="20"/>
          <w:szCs w:val="18"/>
        </w:rPr>
      </w:pPr>
      <w:r w:rsidRPr="00C70E0C">
        <w:rPr>
          <w:rFonts w:cs="Trebuchet MS"/>
          <w:sz w:val="20"/>
          <w:szCs w:val="18"/>
        </w:rPr>
        <w:t xml:space="preserve">Equation 3 – page 6. Not all variables defined </w:t>
      </w:r>
      <w:r w:rsidRPr="0057075A">
        <w:rPr>
          <w:rFonts w:cs="Trebuchet MS"/>
          <w:sz w:val="20"/>
          <w:szCs w:val="18"/>
        </w:rPr>
        <w:t xml:space="preserve">(e.g. </w:t>
      </w:r>
      <m:oMath>
        <m:sSub>
          <m:sSubPr>
            <m:ctrlPr>
              <w:rPr>
                <w:rFonts w:ascii="Cambria Math" w:hAnsi="Cambria Math" w:cs="Trebuchet MS"/>
                <w:i/>
                <w:sz w:val="20"/>
                <w:szCs w:val="18"/>
              </w:rPr>
            </m:ctrlPr>
          </m:sSubPr>
          <m:e>
            <m:r>
              <w:rPr>
                <w:rFonts w:ascii="Cambria Math" w:hAnsi="Cambria Math" w:cs="Trebuchet MS"/>
                <w:sz w:val="20"/>
                <w:szCs w:val="18"/>
              </w:rPr>
              <m:t>a</m:t>
            </m:r>
          </m:e>
          <m:sub>
            <m:r>
              <w:rPr>
                <w:rFonts w:ascii="Cambria Math" w:hAnsi="Cambria Math" w:cs="Trebuchet MS"/>
                <w:sz w:val="20"/>
                <w:szCs w:val="18"/>
              </w:rPr>
              <m:t>2</m:t>
            </m:r>
          </m:sub>
        </m:sSub>
      </m:oMath>
      <w:r w:rsidRPr="0057075A">
        <w:rPr>
          <w:rFonts w:cs="Trebuchet MS"/>
          <w:sz w:val="20"/>
          <w:szCs w:val="18"/>
        </w:rPr>
        <w:t>)</w:t>
      </w:r>
      <w:r>
        <w:rPr>
          <w:rFonts w:cs="Trebuchet MS"/>
          <w:sz w:val="20"/>
          <w:szCs w:val="18"/>
        </w:rPr>
        <w:t xml:space="preserve">. Equation 4 </w:t>
      </w:r>
      <m:oMath>
        <m:r>
          <w:rPr>
            <w:rFonts w:ascii="Cambria Math" w:hAnsi="Cambria Math" w:cs="Trebuchet MS"/>
            <w:sz w:val="20"/>
            <w:szCs w:val="18"/>
          </w:rPr>
          <m:t>δ</m:t>
        </m:r>
      </m:oMath>
      <w:r w:rsidRPr="0057075A">
        <w:rPr>
          <w:rFonts w:eastAsiaTheme="minorEastAsia" w:cs="Trebuchet MS"/>
          <w:sz w:val="20"/>
          <w:szCs w:val="18"/>
        </w:rPr>
        <w:t xml:space="preserve"> not defined, </w:t>
      </w:r>
      <m:oMath>
        <m:r>
          <w:rPr>
            <w:rFonts w:ascii="Cambria Math" w:eastAsiaTheme="minorEastAsia" w:hAnsi="Cambria Math" w:cs="Trebuchet MS"/>
            <w:sz w:val="20"/>
            <w:szCs w:val="18"/>
          </w:rPr>
          <m:t>γ</m:t>
        </m:r>
      </m:oMath>
      <w:r w:rsidRPr="0057075A">
        <w:rPr>
          <w:rFonts w:eastAsiaTheme="minorEastAsia" w:cs="Trebuchet MS"/>
          <w:sz w:val="20"/>
          <w:szCs w:val="18"/>
        </w:rPr>
        <w:t xml:space="preserve"> not defined</w:t>
      </w:r>
      <w:r w:rsidRPr="0057075A">
        <w:rPr>
          <w:rFonts w:cs="Trebuchet MS"/>
          <w:sz w:val="20"/>
          <w:szCs w:val="18"/>
        </w:rPr>
        <w:t xml:space="preserve"> </w:t>
      </w:r>
    </w:p>
    <w:p w:rsidR="00C70E0C" w:rsidRDefault="00C70E0C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sz w:val="20"/>
          <w:szCs w:val="18"/>
        </w:rPr>
      </w:pPr>
    </w:p>
    <w:p w:rsidR="00C70E0C" w:rsidRPr="00F275AB" w:rsidRDefault="00C70E0C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b/>
          <w:sz w:val="20"/>
          <w:szCs w:val="18"/>
        </w:rPr>
      </w:pPr>
      <w:r w:rsidRPr="00F275AB">
        <w:rPr>
          <w:rFonts w:cs="Trebuchet MS"/>
          <w:b/>
          <w:sz w:val="20"/>
          <w:szCs w:val="18"/>
        </w:rPr>
        <w:t>Reply</w:t>
      </w:r>
    </w:p>
    <w:p w:rsidR="00C70E0C" w:rsidRDefault="00C70E0C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sz w:val="20"/>
          <w:szCs w:val="18"/>
        </w:rPr>
      </w:pPr>
      <w:r w:rsidRPr="0057075A">
        <w:rPr>
          <w:rFonts w:cs="Trebuchet MS"/>
          <w:sz w:val="20"/>
          <w:szCs w:val="18"/>
        </w:rPr>
        <w:t xml:space="preserve"> </w:t>
      </w:r>
      <m:oMath>
        <m:sSub>
          <m:sSubPr>
            <m:ctrlPr>
              <w:rPr>
                <w:rFonts w:ascii="Cambria Math" w:hAnsi="Cambria Math" w:cs="Trebuchet MS"/>
                <w:i/>
                <w:sz w:val="20"/>
                <w:szCs w:val="18"/>
              </w:rPr>
            </m:ctrlPr>
          </m:sSubPr>
          <m:e>
            <m:r>
              <w:rPr>
                <w:rFonts w:ascii="Cambria Math" w:hAnsi="Cambria Math" w:cs="Trebuchet MS"/>
                <w:sz w:val="20"/>
                <w:szCs w:val="18"/>
              </w:rPr>
              <m:t>a</m:t>
            </m:r>
          </m:e>
          <m:sub>
            <m:r>
              <w:rPr>
                <w:rFonts w:ascii="Cambria Math" w:hAnsi="Cambria Math" w:cs="Trebuchet MS"/>
                <w:sz w:val="20"/>
                <w:szCs w:val="18"/>
              </w:rPr>
              <m:t>2</m:t>
            </m:r>
          </m:sub>
        </m:sSub>
        <m:r>
          <w:rPr>
            <w:rFonts w:ascii="Cambria Math" w:hAnsi="Cambria Math" w:cs="Trebuchet MS"/>
            <w:sz w:val="20"/>
            <w:szCs w:val="18"/>
          </w:rPr>
          <m:t xml:space="preserve"> </m:t>
        </m:r>
      </m:oMath>
      <w:r w:rsidRPr="0057075A">
        <w:rPr>
          <w:rFonts w:cs="Trebuchet MS"/>
          <w:sz w:val="20"/>
          <w:szCs w:val="18"/>
        </w:rPr>
        <w:t xml:space="preserve"> </w:t>
      </w:r>
      <w:r w:rsidRPr="00C70E0C">
        <w:rPr>
          <w:rFonts w:cs="Trebuchet MS"/>
          <w:sz w:val="20"/>
          <w:szCs w:val="18"/>
        </w:rPr>
        <w:t>is the intercept and is never defined in journal articles</w:t>
      </w:r>
      <w:r>
        <w:rPr>
          <w:rFonts w:cs="Trebuchet MS"/>
          <w:sz w:val="20"/>
          <w:szCs w:val="18"/>
        </w:rPr>
        <w:t>. We refrained from defining it also. We did however define the other undefined variables in order to satisfy reviewer A’s underlying concern.</w:t>
      </w:r>
    </w:p>
    <w:p w:rsidR="00C70E0C" w:rsidRDefault="00C70E0C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sz w:val="20"/>
          <w:szCs w:val="18"/>
        </w:rPr>
      </w:pPr>
    </w:p>
    <w:p w:rsidR="00C70E0C" w:rsidRDefault="00C70E0C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sz w:val="20"/>
          <w:szCs w:val="18"/>
        </w:rPr>
      </w:pPr>
    </w:p>
    <w:p w:rsidR="00C70E0C" w:rsidRPr="00C70E0C" w:rsidRDefault="00C70E0C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b/>
          <w:sz w:val="20"/>
          <w:szCs w:val="18"/>
        </w:rPr>
      </w:pPr>
      <w:r>
        <w:rPr>
          <w:rFonts w:cs="Trebuchet MS"/>
          <w:b/>
          <w:sz w:val="20"/>
          <w:szCs w:val="18"/>
        </w:rPr>
        <w:t>Issue 5</w:t>
      </w:r>
    </w:p>
    <w:p w:rsidR="00C70E0C" w:rsidRDefault="00C70E0C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sz w:val="20"/>
          <w:szCs w:val="18"/>
        </w:rPr>
      </w:pPr>
      <w:r w:rsidRPr="00E6466E">
        <w:rPr>
          <w:rFonts w:cs="Trebuchet MS"/>
          <w:sz w:val="20"/>
          <w:szCs w:val="18"/>
        </w:rPr>
        <w:t>Page 7 – "Data" section</w:t>
      </w:r>
      <w:r>
        <w:rPr>
          <w:rFonts w:cs="Trebuchet MS"/>
          <w:sz w:val="20"/>
          <w:szCs w:val="18"/>
        </w:rPr>
        <w:t>.</w:t>
      </w:r>
      <w:r w:rsidRPr="0057075A">
        <w:rPr>
          <w:rFonts w:cs="Trebuchet MS"/>
          <w:sz w:val="20"/>
          <w:szCs w:val="18"/>
        </w:rPr>
        <w:t xml:space="preserve"> Annoying reference to </w:t>
      </w:r>
      <w:r w:rsidRPr="0057075A">
        <w:rPr>
          <w:rFonts w:cs="Trebuchet MS"/>
          <w:i/>
          <w:sz w:val="20"/>
          <w:szCs w:val="18"/>
        </w:rPr>
        <w:t>data</w:t>
      </w:r>
      <w:r w:rsidRPr="0057075A">
        <w:rPr>
          <w:rFonts w:cs="Trebuchet MS"/>
          <w:sz w:val="20"/>
          <w:szCs w:val="18"/>
        </w:rPr>
        <w:t xml:space="preserve"> as a singular noun. Data means number</w:t>
      </w:r>
      <w:r w:rsidRPr="0057075A">
        <w:rPr>
          <w:rFonts w:cs="Trebuchet MS"/>
          <w:b/>
          <w:sz w:val="20"/>
          <w:szCs w:val="18"/>
        </w:rPr>
        <w:t>S</w:t>
      </w:r>
      <w:r w:rsidRPr="0057075A">
        <w:rPr>
          <w:rFonts w:cs="Trebuchet MS"/>
          <w:sz w:val="20"/>
          <w:szCs w:val="18"/>
        </w:rPr>
        <w:t xml:space="preserve"> – plural – so "the data used in this study </w:t>
      </w:r>
      <w:r w:rsidRPr="0057075A">
        <w:rPr>
          <w:rFonts w:cs="Trebuchet MS"/>
          <w:sz w:val="20"/>
          <w:szCs w:val="18"/>
          <w:u w:val="single"/>
        </w:rPr>
        <w:t>consist</w:t>
      </w:r>
      <w:r w:rsidRPr="0057075A">
        <w:rPr>
          <w:rFonts w:cs="Trebuchet MS"/>
          <w:sz w:val="20"/>
          <w:szCs w:val="18"/>
        </w:rPr>
        <w:t xml:space="preserve"> of …" and "the data for each of these stocks </w:t>
      </w:r>
      <w:r w:rsidRPr="0057075A">
        <w:rPr>
          <w:rFonts w:cs="Trebuchet MS"/>
          <w:sz w:val="20"/>
          <w:szCs w:val="18"/>
          <w:u w:val="single"/>
        </w:rPr>
        <w:t>span</w:t>
      </w:r>
      <w:r w:rsidRPr="0057075A">
        <w:rPr>
          <w:rFonts w:cs="Trebuchet MS"/>
          <w:sz w:val="20"/>
          <w:szCs w:val="18"/>
        </w:rPr>
        <w:t xml:space="preserve"> a period…"</w:t>
      </w:r>
    </w:p>
    <w:p w:rsidR="00C70E0C" w:rsidRDefault="00C70E0C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sz w:val="20"/>
          <w:szCs w:val="18"/>
        </w:rPr>
      </w:pPr>
    </w:p>
    <w:p w:rsidR="00C70E0C" w:rsidRPr="00F275AB" w:rsidRDefault="00C70E0C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b/>
          <w:sz w:val="20"/>
          <w:szCs w:val="18"/>
        </w:rPr>
      </w:pPr>
      <w:r w:rsidRPr="00F275AB">
        <w:rPr>
          <w:rFonts w:cs="Trebuchet MS"/>
          <w:b/>
          <w:sz w:val="20"/>
          <w:szCs w:val="18"/>
        </w:rPr>
        <w:t>Reply</w:t>
      </w:r>
    </w:p>
    <w:p w:rsidR="00C70E0C" w:rsidRDefault="00C70E0C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sz w:val="20"/>
          <w:szCs w:val="18"/>
        </w:rPr>
      </w:pPr>
      <w:r>
        <w:rPr>
          <w:rFonts w:cs="Trebuchet MS"/>
          <w:sz w:val="20"/>
          <w:szCs w:val="18"/>
        </w:rPr>
        <w:t>Reviewer A is off course correct. This was fixed.</w:t>
      </w:r>
    </w:p>
    <w:p w:rsidR="00C70E0C" w:rsidRDefault="00C70E0C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sz w:val="20"/>
          <w:szCs w:val="18"/>
        </w:rPr>
      </w:pPr>
    </w:p>
    <w:p w:rsidR="00C70E0C" w:rsidRPr="00C70E0C" w:rsidRDefault="00C70E0C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b/>
          <w:sz w:val="20"/>
          <w:szCs w:val="18"/>
        </w:rPr>
      </w:pPr>
      <w:r>
        <w:rPr>
          <w:rFonts w:cs="Trebuchet MS"/>
          <w:b/>
          <w:sz w:val="20"/>
          <w:szCs w:val="18"/>
        </w:rPr>
        <w:t>Issue 6</w:t>
      </w:r>
    </w:p>
    <w:p w:rsidR="00C70E0C" w:rsidRDefault="00C70E0C" w:rsidP="00C70E0C">
      <w:pPr>
        <w:autoSpaceDE w:val="0"/>
        <w:autoSpaceDN w:val="0"/>
        <w:adjustRightInd w:val="0"/>
        <w:spacing w:before="60" w:after="60"/>
        <w:jc w:val="both"/>
        <w:rPr>
          <w:rFonts w:cs="Trebuchet MS"/>
          <w:sz w:val="20"/>
          <w:szCs w:val="18"/>
        </w:rPr>
      </w:pPr>
      <w:r w:rsidRPr="0057075A">
        <w:rPr>
          <w:rFonts w:cs="Trebuchet MS"/>
          <w:sz w:val="20"/>
          <w:szCs w:val="18"/>
        </w:rPr>
        <w:t>All tables after Table 1 – starting with Table 2 p9</w:t>
      </w:r>
      <w:r>
        <w:rPr>
          <w:rFonts w:cs="Trebuchet MS"/>
          <w:sz w:val="20"/>
          <w:szCs w:val="18"/>
        </w:rPr>
        <w:t xml:space="preserve">. </w:t>
      </w:r>
      <w:r w:rsidRPr="005F0E26">
        <w:rPr>
          <w:rFonts w:cs="Trebuchet MS"/>
          <w:sz w:val="20"/>
          <w:szCs w:val="18"/>
        </w:rPr>
        <w:t>Too many decimal points for kurtosis, 2 would suffice. This is not a mere pedantic comment – it is difficult to extract relevant information from the data if they are cluttered with irrel</w:t>
      </w:r>
      <w:r w:rsidRPr="005F0E26">
        <w:rPr>
          <w:rFonts w:cs="Trebuchet MS"/>
          <w:sz w:val="20"/>
          <w:szCs w:val="18"/>
        </w:rPr>
        <w:t>e</w:t>
      </w:r>
      <w:r w:rsidRPr="005F0E26">
        <w:rPr>
          <w:rFonts w:cs="Trebuchet MS"/>
          <w:sz w:val="20"/>
          <w:szCs w:val="18"/>
        </w:rPr>
        <w:t>vant and unnecessary decimal place accuracy (which is at best spurious in any case). A kurtosis of 5.1929 tells the rea</w:t>
      </w:r>
      <w:r w:rsidRPr="005F0E26">
        <w:rPr>
          <w:rFonts w:cs="Trebuchet MS"/>
          <w:sz w:val="20"/>
          <w:szCs w:val="18"/>
        </w:rPr>
        <w:t>d</w:t>
      </w:r>
      <w:r w:rsidRPr="005F0E26">
        <w:rPr>
          <w:rFonts w:cs="Trebuchet MS"/>
          <w:sz w:val="20"/>
          <w:szCs w:val="18"/>
        </w:rPr>
        <w:t>er NOTHING more than a reported kurtosis of 5.2.</w:t>
      </w:r>
    </w:p>
    <w:p w:rsidR="00C70E0C" w:rsidRPr="005F0E26" w:rsidRDefault="00C70E0C" w:rsidP="00C70E0C">
      <w:pPr>
        <w:autoSpaceDE w:val="0"/>
        <w:autoSpaceDN w:val="0"/>
        <w:adjustRightInd w:val="0"/>
        <w:spacing w:before="60" w:after="60"/>
        <w:jc w:val="both"/>
        <w:rPr>
          <w:rFonts w:cs="Trebuchet MS"/>
          <w:sz w:val="20"/>
          <w:szCs w:val="18"/>
        </w:rPr>
      </w:pPr>
    </w:p>
    <w:p w:rsidR="00C70E0C" w:rsidRDefault="00C70E0C" w:rsidP="00C70E0C">
      <w:pPr>
        <w:autoSpaceDE w:val="0"/>
        <w:autoSpaceDN w:val="0"/>
        <w:adjustRightInd w:val="0"/>
        <w:spacing w:before="60" w:after="60"/>
        <w:jc w:val="both"/>
        <w:rPr>
          <w:rFonts w:cs="Trebuchet MS"/>
          <w:sz w:val="20"/>
          <w:szCs w:val="18"/>
        </w:rPr>
      </w:pPr>
      <w:r w:rsidRPr="005F0E26">
        <w:rPr>
          <w:rFonts w:cs="Trebuchet MS"/>
          <w:sz w:val="20"/>
          <w:szCs w:val="18"/>
        </w:rPr>
        <w:t>The same applies to the skewness – and the number of decimal points used is inconsistent in Table 2 anyway (som</w:t>
      </w:r>
      <w:r w:rsidRPr="005F0E26">
        <w:rPr>
          <w:rFonts w:cs="Trebuchet MS"/>
          <w:sz w:val="20"/>
          <w:szCs w:val="18"/>
        </w:rPr>
        <w:t>e</w:t>
      </w:r>
      <w:r w:rsidRPr="005F0E26">
        <w:rPr>
          <w:rFonts w:cs="Trebuchet MS"/>
          <w:sz w:val="20"/>
          <w:szCs w:val="18"/>
        </w:rPr>
        <w:t>times 3 sometimes 4 decimal places). All but one are unnecessary</w:t>
      </w:r>
      <w:r>
        <w:rPr>
          <w:rFonts w:cs="Trebuchet MS"/>
          <w:sz w:val="20"/>
          <w:szCs w:val="18"/>
        </w:rPr>
        <w:t>, a</w:t>
      </w:r>
      <w:r w:rsidRPr="005F0E26">
        <w:rPr>
          <w:rFonts w:cs="Trebuchet MS"/>
          <w:sz w:val="20"/>
          <w:szCs w:val="18"/>
        </w:rPr>
        <w:t>nd the same applies to beta in Table 3 – a beta of 0.7005 conveys no more (useful) information than a reported beta of 0.70.</w:t>
      </w:r>
      <w:r>
        <w:rPr>
          <w:rFonts w:cs="Trebuchet MS"/>
          <w:sz w:val="20"/>
          <w:szCs w:val="18"/>
        </w:rPr>
        <w:t xml:space="preserve"> </w:t>
      </w:r>
    </w:p>
    <w:p w:rsidR="00C70E0C" w:rsidRDefault="00C70E0C" w:rsidP="00C70E0C">
      <w:pPr>
        <w:autoSpaceDE w:val="0"/>
        <w:autoSpaceDN w:val="0"/>
        <w:adjustRightInd w:val="0"/>
        <w:spacing w:before="60" w:after="60"/>
        <w:jc w:val="both"/>
        <w:rPr>
          <w:rFonts w:cs="Trebuchet MS"/>
          <w:sz w:val="20"/>
          <w:szCs w:val="18"/>
        </w:rPr>
      </w:pPr>
    </w:p>
    <w:p w:rsidR="00C70E0C" w:rsidRPr="00F275AB" w:rsidRDefault="00C70E0C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b/>
          <w:sz w:val="20"/>
          <w:szCs w:val="18"/>
        </w:rPr>
      </w:pPr>
      <w:r w:rsidRPr="00F275AB">
        <w:rPr>
          <w:rFonts w:cs="Trebuchet MS"/>
          <w:b/>
          <w:sz w:val="20"/>
          <w:szCs w:val="18"/>
        </w:rPr>
        <w:t>Reply</w:t>
      </w:r>
    </w:p>
    <w:p w:rsidR="00C70E0C" w:rsidRPr="0098347B" w:rsidRDefault="00C70E0C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sz w:val="20"/>
          <w:szCs w:val="18"/>
        </w:rPr>
      </w:pPr>
      <w:r>
        <w:rPr>
          <w:rFonts w:cs="Trebuchet MS"/>
          <w:sz w:val="20"/>
          <w:szCs w:val="18"/>
        </w:rPr>
        <w:t>Reviewer A is correct. This was fairly messy and it was fixed.</w:t>
      </w:r>
    </w:p>
    <w:p w:rsidR="00C70E0C" w:rsidRDefault="00C70E0C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sz w:val="20"/>
          <w:szCs w:val="18"/>
        </w:rPr>
      </w:pPr>
    </w:p>
    <w:p w:rsidR="00C70E0C" w:rsidRDefault="00C70E0C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sz w:val="20"/>
          <w:szCs w:val="18"/>
        </w:rPr>
      </w:pPr>
    </w:p>
    <w:p w:rsidR="00C70E0C" w:rsidRPr="00C70E0C" w:rsidRDefault="00C70E0C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b/>
          <w:sz w:val="20"/>
          <w:szCs w:val="18"/>
        </w:rPr>
      </w:pPr>
      <w:r w:rsidRPr="00C70E0C">
        <w:rPr>
          <w:rFonts w:cs="Trebuchet MS"/>
          <w:b/>
          <w:sz w:val="20"/>
          <w:szCs w:val="18"/>
        </w:rPr>
        <w:t>Reference Issue</w:t>
      </w:r>
    </w:p>
    <w:p w:rsidR="00C70E0C" w:rsidRPr="00C70E0C" w:rsidRDefault="00C70E0C" w:rsidP="00C70E0C">
      <w:pPr>
        <w:autoSpaceDE w:val="0"/>
        <w:autoSpaceDN w:val="0"/>
        <w:adjustRightInd w:val="0"/>
        <w:spacing w:after="120" w:line="240" w:lineRule="auto"/>
        <w:jc w:val="both"/>
        <w:rPr>
          <w:rFonts w:cs="Trebuchet MS"/>
          <w:sz w:val="20"/>
          <w:szCs w:val="18"/>
        </w:rPr>
      </w:pPr>
      <w:r w:rsidRPr="00C70E0C">
        <w:rPr>
          <w:rFonts w:cs="Trebuchet MS"/>
          <w:sz w:val="20"/>
          <w:szCs w:val="18"/>
        </w:rPr>
        <w:t xml:space="preserve">Reference has not been made to the (relevant) article by Beirne et al [Beirne J, Caporale, G. M., Schulze-Ghattas, M. and Spagnolo, N. 2013. Volatility Spillovers and Contagion from Mature to Emerging Stock Markets, </w:t>
      </w:r>
      <w:r w:rsidRPr="00C70E0C">
        <w:rPr>
          <w:rFonts w:cs="Trebuchet MS"/>
          <w:i/>
          <w:sz w:val="20"/>
          <w:szCs w:val="18"/>
        </w:rPr>
        <w:t>Review of Intern</w:t>
      </w:r>
      <w:r w:rsidRPr="00C70E0C">
        <w:rPr>
          <w:rFonts w:cs="Trebuchet MS"/>
          <w:i/>
          <w:sz w:val="20"/>
          <w:szCs w:val="18"/>
        </w:rPr>
        <w:t>a</w:t>
      </w:r>
      <w:r w:rsidRPr="00C70E0C">
        <w:rPr>
          <w:rFonts w:cs="Trebuchet MS"/>
          <w:i/>
          <w:sz w:val="20"/>
          <w:szCs w:val="18"/>
        </w:rPr>
        <w:t>tional Economics</w:t>
      </w:r>
      <w:r w:rsidRPr="00C70E0C">
        <w:rPr>
          <w:rFonts w:cs="Trebuchet MS"/>
          <w:sz w:val="20"/>
          <w:szCs w:val="18"/>
        </w:rPr>
        <w:t>, 21(5), 1060-1075]. I believe this article – although 5 years old now – remains a flagship article for vo</w:t>
      </w:r>
      <w:r w:rsidRPr="00C70E0C">
        <w:rPr>
          <w:rFonts w:cs="Trebuchet MS"/>
          <w:sz w:val="20"/>
          <w:szCs w:val="18"/>
        </w:rPr>
        <w:t>l</w:t>
      </w:r>
      <w:r w:rsidRPr="00C70E0C">
        <w:rPr>
          <w:rFonts w:cs="Trebuchet MS"/>
          <w:sz w:val="20"/>
          <w:szCs w:val="18"/>
        </w:rPr>
        <w:t xml:space="preserve">atility spillover effects and I believe it would be good to reference it. </w:t>
      </w:r>
    </w:p>
    <w:p w:rsidR="00C70E0C" w:rsidRDefault="00C70E0C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sz w:val="20"/>
          <w:szCs w:val="18"/>
        </w:rPr>
      </w:pPr>
    </w:p>
    <w:p w:rsidR="00C70E0C" w:rsidRPr="00F275AB" w:rsidRDefault="00C70E0C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b/>
          <w:sz w:val="20"/>
          <w:szCs w:val="18"/>
        </w:rPr>
      </w:pPr>
      <w:r w:rsidRPr="00F275AB">
        <w:rPr>
          <w:rFonts w:cs="Trebuchet MS"/>
          <w:b/>
          <w:sz w:val="20"/>
          <w:szCs w:val="18"/>
        </w:rPr>
        <w:t>Reply</w:t>
      </w:r>
    </w:p>
    <w:p w:rsidR="00C70E0C" w:rsidRPr="0098347B" w:rsidRDefault="00C70E0C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sz w:val="20"/>
          <w:szCs w:val="18"/>
        </w:rPr>
      </w:pPr>
      <w:r>
        <w:rPr>
          <w:rFonts w:cs="Trebuchet MS"/>
          <w:sz w:val="20"/>
          <w:szCs w:val="18"/>
        </w:rPr>
        <w:t>We included this source.</w:t>
      </w:r>
    </w:p>
    <w:p w:rsidR="00C70E0C" w:rsidRPr="0098347B" w:rsidRDefault="00C70E0C" w:rsidP="00C70E0C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sz w:val="20"/>
          <w:szCs w:val="18"/>
        </w:rPr>
      </w:pPr>
    </w:p>
    <w:sectPr w:rsidR="00C70E0C" w:rsidRPr="0098347B" w:rsidSect="004B543E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39" w:rsidRDefault="00FE2439" w:rsidP="00B64F8D">
      <w:pPr>
        <w:spacing w:after="0" w:line="240" w:lineRule="auto"/>
      </w:pPr>
      <w:r>
        <w:separator/>
      </w:r>
    </w:p>
  </w:endnote>
  <w:endnote w:type="continuationSeparator" w:id="0">
    <w:p w:rsidR="00FE2439" w:rsidRDefault="00FE2439" w:rsidP="00B6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567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F8D" w:rsidRDefault="00B64F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4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4F8D" w:rsidRDefault="00B64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39" w:rsidRDefault="00FE2439" w:rsidP="00B64F8D">
      <w:pPr>
        <w:spacing w:after="0" w:line="240" w:lineRule="auto"/>
      </w:pPr>
      <w:r>
        <w:separator/>
      </w:r>
    </w:p>
  </w:footnote>
  <w:footnote w:type="continuationSeparator" w:id="0">
    <w:p w:rsidR="00FE2439" w:rsidRDefault="00FE2439" w:rsidP="00B64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AAE"/>
    <w:multiLevelType w:val="hybridMultilevel"/>
    <w:tmpl w:val="A3766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24324"/>
    <w:multiLevelType w:val="hybridMultilevel"/>
    <w:tmpl w:val="003C5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FF"/>
    <w:rsid w:val="000309A3"/>
    <w:rsid w:val="0004544D"/>
    <w:rsid w:val="00046039"/>
    <w:rsid w:val="0005311F"/>
    <w:rsid w:val="000A2BAB"/>
    <w:rsid w:val="000B4AD2"/>
    <w:rsid w:val="000D3904"/>
    <w:rsid w:val="00100456"/>
    <w:rsid w:val="00176461"/>
    <w:rsid w:val="001872A5"/>
    <w:rsid w:val="001D5230"/>
    <w:rsid w:val="001E432C"/>
    <w:rsid w:val="00251E97"/>
    <w:rsid w:val="00316DC9"/>
    <w:rsid w:val="003534CF"/>
    <w:rsid w:val="003952AD"/>
    <w:rsid w:val="003B5A7B"/>
    <w:rsid w:val="003C0021"/>
    <w:rsid w:val="003D0C1C"/>
    <w:rsid w:val="003E09D8"/>
    <w:rsid w:val="00425125"/>
    <w:rsid w:val="00442BA3"/>
    <w:rsid w:val="0044769E"/>
    <w:rsid w:val="004A408E"/>
    <w:rsid w:val="004B40A7"/>
    <w:rsid w:val="004B543E"/>
    <w:rsid w:val="00520473"/>
    <w:rsid w:val="00541685"/>
    <w:rsid w:val="00554B21"/>
    <w:rsid w:val="00565E90"/>
    <w:rsid w:val="0057075A"/>
    <w:rsid w:val="00582E99"/>
    <w:rsid w:val="005851CD"/>
    <w:rsid w:val="005F0E26"/>
    <w:rsid w:val="005F33CF"/>
    <w:rsid w:val="006619C7"/>
    <w:rsid w:val="006D28D5"/>
    <w:rsid w:val="006E6392"/>
    <w:rsid w:val="006F3CF6"/>
    <w:rsid w:val="0071614C"/>
    <w:rsid w:val="00717626"/>
    <w:rsid w:val="00720E66"/>
    <w:rsid w:val="00794CD6"/>
    <w:rsid w:val="007D271B"/>
    <w:rsid w:val="0084669C"/>
    <w:rsid w:val="008574D2"/>
    <w:rsid w:val="008734CA"/>
    <w:rsid w:val="00881BE3"/>
    <w:rsid w:val="0089679A"/>
    <w:rsid w:val="008F06D4"/>
    <w:rsid w:val="009028F3"/>
    <w:rsid w:val="00941E9B"/>
    <w:rsid w:val="00942CCC"/>
    <w:rsid w:val="00946DE3"/>
    <w:rsid w:val="0098347B"/>
    <w:rsid w:val="009941FF"/>
    <w:rsid w:val="009978D7"/>
    <w:rsid w:val="009A5EEC"/>
    <w:rsid w:val="009B6FE3"/>
    <w:rsid w:val="009F3736"/>
    <w:rsid w:val="00A111A6"/>
    <w:rsid w:val="00A1326F"/>
    <w:rsid w:val="00A1799F"/>
    <w:rsid w:val="00A4439A"/>
    <w:rsid w:val="00A5018F"/>
    <w:rsid w:val="00A55C0A"/>
    <w:rsid w:val="00A660EF"/>
    <w:rsid w:val="00A73467"/>
    <w:rsid w:val="00A90A87"/>
    <w:rsid w:val="00AB0852"/>
    <w:rsid w:val="00B16535"/>
    <w:rsid w:val="00B43474"/>
    <w:rsid w:val="00B444EA"/>
    <w:rsid w:val="00B64F8D"/>
    <w:rsid w:val="00BD634B"/>
    <w:rsid w:val="00BF648C"/>
    <w:rsid w:val="00BF6921"/>
    <w:rsid w:val="00C37B97"/>
    <w:rsid w:val="00C62E4C"/>
    <w:rsid w:val="00C70E0C"/>
    <w:rsid w:val="00CA08D8"/>
    <w:rsid w:val="00CC2882"/>
    <w:rsid w:val="00CE3207"/>
    <w:rsid w:val="00D111B9"/>
    <w:rsid w:val="00D5283B"/>
    <w:rsid w:val="00D825D2"/>
    <w:rsid w:val="00D930FA"/>
    <w:rsid w:val="00DC1CBF"/>
    <w:rsid w:val="00DD0ED9"/>
    <w:rsid w:val="00E22D9B"/>
    <w:rsid w:val="00E235A7"/>
    <w:rsid w:val="00E6466E"/>
    <w:rsid w:val="00E718E4"/>
    <w:rsid w:val="00EC147C"/>
    <w:rsid w:val="00F04E93"/>
    <w:rsid w:val="00F275AB"/>
    <w:rsid w:val="00F73916"/>
    <w:rsid w:val="00F7419E"/>
    <w:rsid w:val="00F81592"/>
    <w:rsid w:val="00FA34B5"/>
    <w:rsid w:val="00FB33C5"/>
    <w:rsid w:val="00FE2439"/>
    <w:rsid w:val="00F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271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4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F8D"/>
  </w:style>
  <w:style w:type="paragraph" w:styleId="Footer">
    <w:name w:val="footer"/>
    <w:basedOn w:val="Normal"/>
    <w:link w:val="FooterChar"/>
    <w:uiPriority w:val="99"/>
    <w:unhideWhenUsed/>
    <w:rsid w:val="00B64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F8D"/>
  </w:style>
  <w:style w:type="table" w:styleId="TableGrid">
    <w:name w:val="Table Grid"/>
    <w:basedOn w:val="TableNormal"/>
    <w:uiPriority w:val="59"/>
    <w:rsid w:val="0098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271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4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F8D"/>
  </w:style>
  <w:style w:type="paragraph" w:styleId="Footer">
    <w:name w:val="footer"/>
    <w:basedOn w:val="Normal"/>
    <w:link w:val="FooterChar"/>
    <w:uiPriority w:val="99"/>
    <w:unhideWhenUsed/>
    <w:rsid w:val="00B64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F8D"/>
  </w:style>
  <w:style w:type="table" w:styleId="TableGrid">
    <w:name w:val="Table Grid"/>
    <w:basedOn w:val="TableNormal"/>
    <w:uiPriority w:val="59"/>
    <w:rsid w:val="0098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User</cp:lastModifiedBy>
  <cp:revision>2</cp:revision>
  <dcterms:created xsi:type="dcterms:W3CDTF">2014-11-26T11:48:00Z</dcterms:created>
  <dcterms:modified xsi:type="dcterms:W3CDTF">2014-11-26T11:48:00Z</dcterms:modified>
</cp:coreProperties>
</file>