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754"/>
      </w:tblGrid>
      <w:tr w:rsidR="00A20DB2" w:rsidRPr="00A20DB2" w:rsidTr="00A20DB2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CF291D" w:rsidRPr="00A20DB2" w:rsidRDefault="00507299" w:rsidP="0079001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lang w:eastAsia="en-ZA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lang w:eastAsia="en-ZA"/>
              </w:rPr>
              <w:t>Previous response</w:t>
            </w:r>
          </w:p>
        </w:tc>
      </w:tr>
      <w:tr w:rsidR="00CF291D" w:rsidRPr="00CF291D" w:rsidTr="0007020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6B86" w:rsidRPr="00CF291D" w:rsidRDefault="00936B86" w:rsidP="0079001E">
            <w:pPr>
              <w:jc w:val="center"/>
              <w:rPr>
                <w:rFonts w:eastAsia="Times New Roman" w:cstheme="minorHAnsi"/>
                <w:b/>
                <w:lang w:eastAsia="en-ZA"/>
              </w:rPr>
            </w:pPr>
            <w:r w:rsidRPr="00CF291D">
              <w:rPr>
                <w:rFonts w:eastAsia="Times New Roman" w:cstheme="minorHAnsi"/>
                <w:b/>
                <w:lang w:eastAsia="en-ZA"/>
              </w:rPr>
              <w:t>Reviewer comment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6B86" w:rsidRPr="00CF291D" w:rsidRDefault="00936B86" w:rsidP="0079001E">
            <w:pPr>
              <w:jc w:val="center"/>
              <w:rPr>
                <w:rFonts w:eastAsia="Times New Roman" w:cstheme="minorHAnsi"/>
                <w:b/>
                <w:lang w:eastAsia="en-ZA"/>
              </w:rPr>
            </w:pPr>
            <w:r w:rsidRPr="00CF291D">
              <w:rPr>
                <w:rFonts w:eastAsia="Times New Roman" w:cstheme="minorHAnsi"/>
                <w:b/>
                <w:lang w:eastAsia="en-ZA"/>
              </w:rPr>
              <w:t>Author response</w:t>
            </w:r>
          </w:p>
        </w:tc>
      </w:tr>
      <w:tr w:rsidR="00CF291D" w:rsidRPr="00CF291D" w:rsidTr="00070208">
        <w:tc>
          <w:tcPr>
            <w:tcW w:w="0" w:type="auto"/>
            <w:vAlign w:val="center"/>
          </w:tcPr>
          <w:p w:rsidR="00936B86" w:rsidRPr="00070208" w:rsidRDefault="00CF291D" w:rsidP="0079001E">
            <w:pPr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What are the policy impl</w:t>
            </w: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i</w:t>
            </w: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cations for the government if this impacts its pr</w:t>
            </w: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o</w:t>
            </w: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vincial d</w:t>
            </w: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e</w:t>
            </w:r>
            <w:r w:rsidRPr="00070208">
              <w:rPr>
                <w:rFonts w:eastAsia="Times New Roman" w:cstheme="minorHAnsi"/>
                <w:sz w:val="20"/>
                <w:szCs w:val="20"/>
                <w:lang w:eastAsia="en-ZA"/>
              </w:rPr>
              <w:t>partments?</w:t>
            </w:r>
          </w:p>
        </w:tc>
        <w:tc>
          <w:tcPr>
            <w:tcW w:w="0" w:type="auto"/>
            <w:vAlign w:val="center"/>
          </w:tcPr>
          <w:p w:rsidR="00936B86" w:rsidRPr="00070208" w:rsidRDefault="001E553A" w:rsidP="0079001E">
            <w:pPr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We did not wish to indulge in the allocation of policy decisions – that is best left to government! However, we believe that, given our co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n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tribution to a workable system to evaluate and assign subnational credit ratings, government may well employ this technique in order to assess the creditworthiness of </w:t>
            </w:r>
            <w:r w:rsidR="00B9560C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its 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underlying </w:t>
            </w:r>
            <w:r w:rsidR="00B9560C">
              <w:rPr>
                <w:rFonts w:eastAsia="Times New Roman" w:cstheme="minorHAnsi"/>
                <w:sz w:val="20"/>
                <w:szCs w:val="20"/>
                <w:lang w:eastAsia="en-ZA"/>
              </w:rPr>
              <w:t>subnationals. This may serve as an early warning system for failing subnationals, for example.</w:t>
            </w:r>
          </w:p>
        </w:tc>
      </w:tr>
    </w:tbl>
    <w:p w:rsidR="0079001E" w:rsidRDefault="0079001E"/>
    <w:p w:rsidR="0079001E" w:rsidRDefault="0079001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F291D" w:rsidRPr="00A20DB2" w:rsidTr="0079001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291D" w:rsidRPr="00A20DB2" w:rsidRDefault="00507299" w:rsidP="0079001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lang w:eastAsia="en-ZA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lang w:eastAsia="en-ZA"/>
              </w:rPr>
              <w:t>Additional response</w:t>
            </w:r>
          </w:p>
        </w:tc>
      </w:tr>
      <w:tr w:rsidR="00507299" w:rsidRPr="00CF291D" w:rsidTr="0079001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07299" w:rsidRPr="00CF291D" w:rsidRDefault="00507299" w:rsidP="0079001E">
            <w:pPr>
              <w:jc w:val="center"/>
              <w:rPr>
                <w:rFonts w:eastAsia="Times New Roman" w:cstheme="minorHAnsi"/>
                <w:b/>
                <w:lang w:eastAsia="en-ZA"/>
              </w:rPr>
            </w:pPr>
            <w:r>
              <w:rPr>
                <w:rFonts w:eastAsia="Times New Roman" w:cstheme="minorHAnsi"/>
                <w:b/>
                <w:lang w:eastAsia="en-ZA"/>
              </w:rPr>
              <w:t>Editor</w:t>
            </w:r>
            <w:r w:rsidRPr="00CF291D">
              <w:rPr>
                <w:rFonts w:eastAsia="Times New Roman" w:cstheme="minorHAnsi"/>
                <w:b/>
                <w:lang w:eastAsia="en-ZA"/>
              </w:rPr>
              <w:t xml:space="preserve"> comment</w:t>
            </w:r>
            <w:r>
              <w:rPr>
                <w:rFonts w:eastAsia="Times New Roman" w:cstheme="minorHAnsi"/>
                <w:b/>
                <w:lang w:eastAsia="en-ZA"/>
              </w:rPr>
              <w:t xml:space="preserve"> from reviewer</w:t>
            </w:r>
          </w:p>
        </w:tc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507299" w:rsidRPr="00CF291D" w:rsidRDefault="00507299" w:rsidP="0079001E">
            <w:pPr>
              <w:jc w:val="center"/>
              <w:rPr>
                <w:rFonts w:eastAsia="Times New Roman" w:cstheme="minorHAnsi"/>
                <w:b/>
                <w:lang w:eastAsia="en-ZA"/>
              </w:rPr>
            </w:pPr>
            <w:r w:rsidRPr="00CF291D">
              <w:rPr>
                <w:rFonts w:eastAsia="Times New Roman" w:cstheme="minorHAnsi"/>
                <w:b/>
                <w:lang w:eastAsia="en-ZA"/>
              </w:rPr>
              <w:t>Author response</w:t>
            </w:r>
          </w:p>
        </w:tc>
      </w:tr>
      <w:tr w:rsidR="00CF291D" w:rsidRPr="00CF291D" w:rsidTr="0079001E">
        <w:tc>
          <w:tcPr>
            <w:tcW w:w="3227" w:type="dxa"/>
            <w:vAlign w:val="center"/>
          </w:tcPr>
          <w:p w:rsidR="00CF291D" w:rsidRPr="00507299" w:rsidRDefault="00507299" w:rsidP="0079001E">
            <w:pPr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Unfortunately, the reviewers are not completely satisfied with the corre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c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tions made. It is suggested that the authors need to elaborate in more detail on the policy i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m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plications of the study.</w:t>
            </w:r>
          </w:p>
        </w:tc>
        <w:tc>
          <w:tcPr>
            <w:tcW w:w="6015" w:type="dxa"/>
            <w:vAlign w:val="center"/>
          </w:tcPr>
          <w:p w:rsidR="0079001E" w:rsidRDefault="000A4BB0" w:rsidP="0079001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theme="minorHAnsi"/>
                <w:i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We have added a new section, called </w:t>
            </w:r>
            <w:r w:rsidR="00507299" w:rsidRPr="000A4BB0">
              <w:rPr>
                <w:rFonts w:eastAsia="Times New Roman" w:cstheme="minorHAnsi"/>
                <w:i/>
                <w:sz w:val="20"/>
                <w:szCs w:val="20"/>
                <w:lang w:eastAsia="en-ZA"/>
              </w:rPr>
              <w:t xml:space="preserve">Section 5: </w:t>
            </w:r>
            <w:r w:rsidRPr="000A4BB0">
              <w:rPr>
                <w:rFonts w:eastAsia="Times New Roman" w:cstheme="minorHAnsi"/>
                <w:i/>
                <w:sz w:val="20"/>
                <w:szCs w:val="20"/>
                <w:lang w:eastAsia="en-ZA"/>
              </w:rPr>
              <w:t>Subnational credit ra</w:t>
            </w:r>
            <w:r w:rsidRPr="000A4BB0">
              <w:rPr>
                <w:rFonts w:eastAsia="Times New Roman" w:cstheme="minorHAnsi"/>
                <w:i/>
                <w:sz w:val="20"/>
                <w:szCs w:val="20"/>
                <w:lang w:eastAsia="en-ZA"/>
              </w:rPr>
              <w:t>t</w:t>
            </w:r>
            <w:r w:rsidRPr="000A4BB0">
              <w:rPr>
                <w:rFonts w:eastAsia="Times New Roman" w:cstheme="minorHAnsi"/>
                <w:i/>
                <w:sz w:val="20"/>
                <w:szCs w:val="20"/>
                <w:lang w:eastAsia="en-ZA"/>
              </w:rPr>
              <w:t>ings and their policy implications in South Africa</w:t>
            </w:r>
            <w:r w:rsidR="00507299" w:rsidRPr="000A4BB0">
              <w:rPr>
                <w:rFonts w:eastAsia="Times New Roman" w:cstheme="minorHAnsi"/>
                <w:i/>
                <w:sz w:val="20"/>
                <w:szCs w:val="20"/>
                <w:lang w:eastAsia="en-ZA"/>
              </w:rPr>
              <w:t>.</w:t>
            </w:r>
          </w:p>
          <w:p w:rsidR="000A4BB0" w:rsidRDefault="00507299" w:rsidP="0079001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This is a detailed summary on the</w:t>
            </w:r>
            <w:r w:rsidR="000A4BB0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possible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policy impl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i</w:t>
            </w:r>
            <w:r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ca</w:t>
            </w:r>
            <w:r w:rsidR="000A4BB0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tions of the article. </w:t>
            </w:r>
          </w:p>
          <w:p w:rsidR="000A4BB0" w:rsidRDefault="000A4BB0" w:rsidP="0079001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N</w:t>
            </w:r>
            <w:r w:rsidR="00507299">
              <w:rPr>
                <w:rFonts w:eastAsia="Times New Roman" w:cstheme="minorHAnsi"/>
                <w:sz w:val="20"/>
                <w:szCs w:val="20"/>
                <w:lang w:eastAsia="en-ZA"/>
              </w:rPr>
              <w:t>ew</w:t>
            </w:r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references</w:t>
            </w:r>
            <w:r w:rsidR="00FF457A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were 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added</w:t>
            </w:r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(see for e</w:t>
            </w:r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x</w:t>
            </w:r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ample </w:t>
            </w:r>
            <w:proofErr w:type="spellStart"/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Ter-Minassian</w:t>
            </w:r>
            <w:proofErr w:type="spellEnd"/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(2007) </w:t>
            </w:r>
            <w:r w:rsid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and </w:t>
            </w:r>
            <w:proofErr w:type="spellStart"/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Rodden</w:t>
            </w:r>
            <w:proofErr w:type="spellEnd"/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</w:t>
            </w:r>
            <w:r w:rsidR="00507299">
              <w:rPr>
                <w:rFonts w:eastAsia="Times New Roman" w:cstheme="minorHAnsi"/>
                <w:sz w:val="20"/>
                <w:szCs w:val="20"/>
                <w:lang w:eastAsia="en-ZA"/>
              </w:rPr>
              <w:t>(</w:t>
            </w:r>
            <w:r w:rsidR="00507299" w:rsidRPr="00507299">
              <w:rPr>
                <w:rFonts w:eastAsia="Times New Roman" w:cstheme="minorHAnsi"/>
                <w:sz w:val="20"/>
                <w:szCs w:val="20"/>
                <w:lang w:eastAsia="en-ZA"/>
              </w:rPr>
              <w:t>2006</w:t>
            </w:r>
            <w:r w:rsidR="00507299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)).  </w:t>
            </w:r>
          </w:p>
          <w:p w:rsidR="000A4BB0" w:rsidRPr="00507299" w:rsidRDefault="000A4BB0" w:rsidP="0079001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Note that the last part of Section 2.2 was </w:t>
            </w:r>
            <w:r w:rsidR="00FF457A">
              <w:rPr>
                <w:rFonts w:eastAsia="Times New Roman" w:cstheme="minorHAnsi"/>
                <w:sz w:val="20"/>
                <w:szCs w:val="20"/>
                <w:lang w:eastAsia="en-ZA"/>
              </w:rPr>
              <w:t>now worked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into Se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tion 5. </w:t>
            </w:r>
          </w:p>
        </w:tc>
      </w:tr>
    </w:tbl>
    <w:p w:rsidR="00F4444C" w:rsidRDefault="00F4444C" w:rsidP="00F4444C">
      <w:pPr>
        <w:rPr>
          <w:rFonts w:cstheme="minorHAnsi"/>
          <w:b/>
          <w:sz w:val="20"/>
          <w:szCs w:val="20"/>
          <w:lang w:val="en-GB"/>
        </w:rPr>
      </w:pPr>
    </w:p>
    <w:sectPr w:rsidR="00F4444C" w:rsidSect="007900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D2" w:rsidRDefault="00B243D2" w:rsidP="00AF108C">
      <w:pPr>
        <w:spacing w:after="0" w:line="240" w:lineRule="auto"/>
      </w:pPr>
      <w:r>
        <w:separator/>
      </w:r>
    </w:p>
  </w:endnote>
  <w:endnote w:type="continuationSeparator" w:id="0">
    <w:p w:rsidR="00B243D2" w:rsidRDefault="00B243D2" w:rsidP="00A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21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08C" w:rsidRDefault="00AF1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08C" w:rsidRDefault="00AF1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D2" w:rsidRDefault="00B243D2" w:rsidP="00AF108C">
      <w:pPr>
        <w:spacing w:after="0" w:line="240" w:lineRule="auto"/>
      </w:pPr>
      <w:r>
        <w:separator/>
      </w:r>
    </w:p>
  </w:footnote>
  <w:footnote w:type="continuationSeparator" w:id="0">
    <w:p w:rsidR="00B243D2" w:rsidRDefault="00B243D2" w:rsidP="00AF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5FC"/>
    <w:multiLevelType w:val="hybridMultilevel"/>
    <w:tmpl w:val="8A72B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07B9B"/>
    <w:multiLevelType w:val="multilevel"/>
    <w:tmpl w:val="774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002FA"/>
    <w:multiLevelType w:val="multilevel"/>
    <w:tmpl w:val="E22A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B4162"/>
    <w:multiLevelType w:val="multilevel"/>
    <w:tmpl w:val="FB8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17"/>
    <w:rsid w:val="00014F7E"/>
    <w:rsid w:val="00070208"/>
    <w:rsid w:val="00091C5F"/>
    <w:rsid w:val="000A4BB0"/>
    <w:rsid w:val="000F64EA"/>
    <w:rsid w:val="001151DA"/>
    <w:rsid w:val="001A5B71"/>
    <w:rsid w:val="001E553A"/>
    <w:rsid w:val="00266A30"/>
    <w:rsid w:val="002C0785"/>
    <w:rsid w:val="003011DF"/>
    <w:rsid w:val="003352AB"/>
    <w:rsid w:val="00364C12"/>
    <w:rsid w:val="003E21BC"/>
    <w:rsid w:val="003E2D96"/>
    <w:rsid w:val="00433500"/>
    <w:rsid w:val="00437EED"/>
    <w:rsid w:val="004E3769"/>
    <w:rsid w:val="00507299"/>
    <w:rsid w:val="00524B4E"/>
    <w:rsid w:val="005C2B17"/>
    <w:rsid w:val="00606AC2"/>
    <w:rsid w:val="0067279C"/>
    <w:rsid w:val="006B7649"/>
    <w:rsid w:val="006D3B5C"/>
    <w:rsid w:val="0079001E"/>
    <w:rsid w:val="008413A4"/>
    <w:rsid w:val="0085546C"/>
    <w:rsid w:val="0088085B"/>
    <w:rsid w:val="008B2D27"/>
    <w:rsid w:val="008F56DF"/>
    <w:rsid w:val="00936B86"/>
    <w:rsid w:val="0095488C"/>
    <w:rsid w:val="00964DC0"/>
    <w:rsid w:val="009A00EE"/>
    <w:rsid w:val="00A20DB2"/>
    <w:rsid w:val="00AB114A"/>
    <w:rsid w:val="00AF108C"/>
    <w:rsid w:val="00B00FDB"/>
    <w:rsid w:val="00B238A1"/>
    <w:rsid w:val="00B243D2"/>
    <w:rsid w:val="00B27515"/>
    <w:rsid w:val="00B515FD"/>
    <w:rsid w:val="00B9560C"/>
    <w:rsid w:val="00C35F39"/>
    <w:rsid w:val="00CA2731"/>
    <w:rsid w:val="00CF291D"/>
    <w:rsid w:val="00D56020"/>
    <w:rsid w:val="00D97AF6"/>
    <w:rsid w:val="00E87E8B"/>
    <w:rsid w:val="00EC0CAF"/>
    <w:rsid w:val="00F00EF7"/>
    <w:rsid w:val="00F1739B"/>
    <w:rsid w:val="00F4444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26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8C"/>
  </w:style>
  <w:style w:type="paragraph" w:styleId="Footer">
    <w:name w:val="footer"/>
    <w:basedOn w:val="Normal"/>
    <w:link w:val="FooterChar"/>
    <w:uiPriority w:val="99"/>
    <w:unhideWhenUsed/>
    <w:rsid w:val="00AF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8C"/>
  </w:style>
  <w:style w:type="paragraph" w:styleId="BalloonText">
    <w:name w:val="Balloon Text"/>
    <w:basedOn w:val="Normal"/>
    <w:link w:val="BalloonTextChar"/>
    <w:uiPriority w:val="99"/>
    <w:semiHidden/>
    <w:unhideWhenUsed/>
    <w:rsid w:val="004E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2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26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8C"/>
  </w:style>
  <w:style w:type="paragraph" w:styleId="Footer">
    <w:name w:val="footer"/>
    <w:basedOn w:val="Normal"/>
    <w:link w:val="FooterChar"/>
    <w:uiPriority w:val="99"/>
    <w:unhideWhenUsed/>
    <w:rsid w:val="00AF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8C"/>
  </w:style>
  <w:style w:type="paragraph" w:styleId="BalloonText">
    <w:name w:val="Balloon Text"/>
    <w:basedOn w:val="Normal"/>
    <w:link w:val="BalloonTextChar"/>
    <w:uiPriority w:val="99"/>
    <w:semiHidden/>
    <w:unhideWhenUsed/>
    <w:rsid w:val="004E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2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865">
          <w:marLeft w:val="60"/>
          <w:marRight w:val="6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9B87-1A87-4FC5-9019-AFDAEE26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De La Rey</dc:creator>
  <cp:lastModifiedBy>Gary Van Vuuren</cp:lastModifiedBy>
  <cp:revision>2</cp:revision>
  <cp:lastPrinted>2015-10-16T08:43:00Z</cp:lastPrinted>
  <dcterms:created xsi:type="dcterms:W3CDTF">2015-12-04T10:58:00Z</dcterms:created>
  <dcterms:modified xsi:type="dcterms:W3CDTF">2015-12-04T10:58:00Z</dcterms:modified>
</cp:coreProperties>
</file>