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962" w:rsidRDefault="00C74962" w:rsidP="00C60687">
      <w:pPr>
        <w:spacing w:after="120" w:line="360" w:lineRule="auto"/>
        <w:ind w:left="360"/>
        <w:jc w:val="both"/>
        <w:rPr>
          <w:rFonts w:asciiTheme="minorBidi" w:hAnsiTheme="minorBidi"/>
          <w:b/>
          <w:bCs/>
          <w:sz w:val="24"/>
          <w:szCs w:val="24"/>
          <w:u w:val="single"/>
          <w:lang w:val="en-ZA"/>
        </w:rPr>
      </w:pPr>
      <w:bookmarkStart w:id="0" w:name="_GoBack"/>
      <w:bookmarkEnd w:id="0"/>
      <w:r w:rsidRPr="001861EF">
        <w:rPr>
          <w:rFonts w:asciiTheme="minorBidi" w:hAnsiTheme="minorBidi"/>
          <w:b/>
          <w:bCs/>
          <w:sz w:val="24"/>
          <w:szCs w:val="24"/>
          <w:u w:val="single"/>
          <w:lang w:val="en-ZA"/>
        </w:rPr>
        <w:t>#1261 – RESPONSES TO REVIEWERS’ COMMENTS – ROUND 1</w:t>
      </w:r>
    </w:p>
    <w:p w:rsidR="00B40080" w:rsidRDefault="00B40080" w:rsidP="00C60687">
      <w:pPr>
        <w:spacing w:after="120" w:line="360" w:lineRule="auto"/>
        <w:ind w:left="360"/>
        <w:jc w:val="both"/>
        <w:rPr>
          <w:rFonts w:asciiTheme="minorBidi" w:hAnsiTheme="minorBidi"/>
          <w:sz w:val="24"/>
          <w:szCs w:val="24"/>
          <w:lang w:val="en-ZA"/>
        </w:rPr>
      </w:pPr>
      <w:r>
        <w:rPr>
          <w:rFonts w:asciiTheme="minorBidi" w:hAnsiTheme="minorBidi"/>
          <w:sz w:val="24"/>
          <w:szCs w:val="24"/>
          <w:lang w:val="en-ZA"/>
        </w:rPr>
        <w:t>We would like to thank the reviewers for their valuable comments. It has definitely improved the focus and flow of the paper. Below are our detailed responses.</w:t>
      </w:r>
    </w:p>
    <w:p w:rsidR="00B40080" w:rsidRPr="00B40080" w:rsidRDefault="00B40080" w:rsidP="00C60687">
      <w:pPr>
        <w:spacing w:after="120" w:line="360" w:lineRule="auto"/>
        <w:ind w:left="360"/>
        <w:jc w:val="both"/>
        <w:rPr>
          <w:rFonts w:asciiTheme="minorBidi" w:hAnsiTheme="minorBidi"/>
          <w:sz w:val="24"/>
          <w:szCs w:val="24"/>
          <w:lang w:val="en-ZA"/>
        </w:rPr>
      </w:pPr>
    </w:p>
    <w:tbl>
      <w:tblPr>
        <w:tblStyle w:val="TableGrid"/>
        <w:tblW w:w="0" w:type="auto"/>
        <w:tblInd w:w="360" w:type="dxa"/>
        <w:tblLook w:val="04A0" w:firstRow="1" w:lastRow="0" w:firstColumn="1" w:lastColumn="0" w:noHBand="0" w:noVBand="1"/>
      </w:tblPr>
      <w:tblGrid>
        <w:gridCol w:w="4851"/>
        <w:gridCol w:w="4569"/>
      </w:tblGrid>
      <w:tr w:rsidR="00C60687" w:rsidRPr="00C60687" w:rsidTr="00B40080">
        <w:trPr>
          <w:tblHeader/>
        </w:trPr>
        <w:tc>
          <w:tcPr>
            <w:tcW w:w="4851" w:type="dxa"/>
          </w:tcPr>
          <w:p w:rsidR="00C60687" w:rsidRPr="00B40080" w:rsidRDefault="00C60687" w:rsidP="00B40080">
            <w:pPr>
              <w:spacing w:after="120" w:line="360" w:lineRule="auto"/>
              <w:jc w:val="center"/>
              <w:rPr>
                <w:rFonts w:asciiTheme="minorBidi" w:hAnsiTheme="minorBidi"/>
                <w:b/>
                <w:bCs/>
                <w:lang w:val="en-ZA"/>
              </w:rPr>
            </w:pPr>
            <w:r w:rsidRPr="00B40080">
              <w:rPr>
                <w:rFonts w:asciiTheme="minorBidi" w:hAnsiTheme="minorBidi"/>
                <w:b/>
                <w:bCs/>
                <w:lang w:val="en-ZA"/>
              </w:rPr>
              <w:t>REVIEWERS’ COMMENTS</w:t>
            </w:r>
          </w:p>
        </w:tc>
        <w:tc>
          <w:tcPr>
            <w:tcW w:w="4569" w:type="dxa"/>
          </w:tcPr>
          <w:p w:rsidR="00C60687" w:rsidRPr="00B40080" w:rsidRDefault="00C60687" w:rsidP="00B40080">
            <w:pPr>
              <w:spacing w:after="120" w:line="360" w:lineRule="auto"/>
              <w:jc w:val="center"/>
              <w:rPr>
                <w:rFonts w:asciiTheme="minorBidi" w:hAnsiTheme="minorBidi"/>
                <w:b/>
                <w:bCs/>
                <w:lang w:val="en-ZA"/>
              </w:rPr>
            </w:pPr>
            <w:r w:rsidRPr="00B40080">
              <w:rPr>
                <w:rFonts w:asciiTheme="minorBidi" w:hAnsiTheme="minorBidi"/>
                <w:b/>
                <w:bCs/>
                <w:lang w:val="en-ZA"/>
              </w:rPr>
              <w:t>AUTHORS’ RESPONSES</w:t>
            </w:r>
          </w:p>
        </w:tc>
      </w:tr>
      <w:tr w:rsidR="00B40080" w:rsidRPr="00C60687" w:rsidTr="00246B51">
        <w:tc>
          <w:tcPr>
            <w:tcW w:w="9420" w:type="dxa"/>
            <w:gridSpan w:val="2"/>
          </w:tcPr>
          <w:p w:rsidR="00B40080" w:rsidRPr="00C60687" w:rsidRDefault="00B40080" w:rsidP="00C60687">
            <w:pPr>
              <w:spacing w:after="120" w:line="360" w:lineRule="auto"/>
              <w:jc w:val="both"/>
              <w:rPr>
                <w:rFonts w:asciiTheme="minorBidi" w:hAnsiTheme="minorBidi"/>
                <w:lang w:val="en-ZA"/>
              </w:rPr>
            </w:pPr>
            <w:r w:rsidRPr="00C60687">
              <w:rPr>
                <w:rFonts w:asciiTheme="minorBidi" w:hAnsiTheme="minorBidi"/>
                <w:lang w:val="en-ZA"/>
              </w:rPr>
              <w:t>Is the research question clear and concise?</w:t>
            </w:r>
          </w:p>
        </w:tc>
      </w:tr>
      <w:tr w:rsidR="00C60687" w:rsidRPr="00C60687" w:rsidTr="00B40080">
        <w:tc>
          <w:tcPr>
            <w:tcW w:w="4851" w:type="dxa"/>
          </w:tcPr>
          <w:p w:rsidR="00B40080" w:rsidRDefault="00C60687" w:rsidP="00C60687">
            <w:pPr>
              <w:pStyle w:val="ListParagraph"/>
              <w:numPr>
                <w:ilvl w:val="0"/>
                <w:numId w:val="12"/>
              </w:numPr>
              <w:spacing w:after="120" w:line="360" w:lineRule="auto"/>
              <w:jc w:val="both"/>
              <w:rPr>
                <w:rFonts w:asciiTheme="minorBidi" w:hAnsiTheme="minorBidi"/>
                <w:lang w:val="en-ZA"/>
              </w:rPr>
            </w:pPr>
            <w:r w:rsidRPr="00C60687">
              <w:rPr>
                <w:rFonts w:asciiTheme="minorBidi" w:hAnsiTheme="minorBidi"/>
                <w:lang w:val="en-ZA"/>
              </w:rPr>
              <w:t xml:space="preserve">Largely yes. </w:t>
            </w:r>
          </w:p>
          <w:p w:rsidR="00C60687" w:rsidRPr="00B40080" w:rsidRDefault="00C60687" w:rsidP="00B40080">
            <w:pPr>
              <w:spacing w:after="120" w:line="360" w:lineRule="auto"/>
              <w:ind w:left="360"/>
              <w:jc w:val="both"/>
              <w:rPr>
                <w:rFonts w:asciiTheme="minorBidi" w:hAnsiTheme="minorBidi"/>
                <w:lang w:val="en-ZA"/>
              </w:rPr>
            </w:pPr>
            <w:r w:rsidRPr="00B40080">
              <w:rPr>
                <w:rFonts w:asciiTheme="minorBidi" w:hAnsiTheme="minorBidi"/>
                <w:lang w:val="en-ZA"/>
              </w:rPr>
              <w:t xml:space="preserve">The main research question is whether South African firms comply with international best practice for investor relations and the importance of this is clearly communicated. As part of this compliance check list the authors also dedicate attention to the internet stages model – and examine whether South Africa has moved from stage II to stage III in terms of the usage of unique features of the internet. I do think however, that the </w:t>
            </w:r>
            <w:r w:rsidRPr="00B40080">
              <w:rPr>
                <w:rFonts w:asciiTheme="minorBidi" w:hAnsiTheme="minorBidi"/>
                <w:highlight w:val="yellow"/>
                <w:lang w:val="en-ZA"/>
              </w:rPr>
              <w:t>authors need to make it explicit upfront (in the abstract and introduction) that this latter issue is a sub-objective of this study.</w:t>
            </w:r>
            <w:r w:rsidRPr="00B40080">
              <w:rPr>
                <w:rFonts w:asciiTheme="minorBidi" w:hAnsiTheme="minorBidi"/>
                <w:lang w:val="en-ZA"/>
              </w:rPr>
              <w:t xml:space="preserve"> The authors implicitly do this and then make it more explicit in the section on coding when reference is made to the “second focus of this study” but describing them as distinct but related components of the study will help the reader have a clearer idea of the purpose of the paper.</w:t>
            </w:r>
          </w:p>
        </w:tc>
        <w:tc>
          <w:tcPr>
            <w:tcW w:w="4569" w:type="dxa"/>
          </w:tcPr>
          <w:p w:rsidR="00C60687" w:rsidRPr="00C60687" w:rsidRDefault="00B40080" w:rsidP="00C60687">
            <w:pPr>
              <w:pStyle w:val="ListParagraph"/>
              <w:numPr>
                <w:ilvl w:val="0"/>
                <w:numId w:val="12"/>
              </w:numPr>
              <w:spacing w:after="120" w:line="360" w:lineRule="auto"/>
              <w:jc w:val="both"/>
              <w:rPr>
                <w:rFonts w:asciiTheme="minorBidi" w:hAnsiTheme="minorBidi"/>
                <w:lang w:val="en-ZA"/>
              </w:rPr>
            </w:pPr>
            <w:r>
              <w:rPr>
                <w:rFonts w:asciiTheme="minorBidi" w:hAnsiTheme="minorBidi"/>
                <w:lang w:val="en-ZA"/>
              </w:rPr>
              <w:t>Done.</w:t>
            </w:r>
          </w:p>
        </w:tc>
      </w:tr>
      <w:tr w:rsidR="005C7EA6" w:rsidRPr="00C60687" w:rsidTr="009B1F24">
        <w:tc>
          <w:tcPr>
            <w:tcW w:w="9420" w:type="dxa"/>
            <w:gridSpan w:val="2"/>
          </w:tcPr>
          <w:p w:rsidR="005C7EA6" w:rsidRPr="00C60687" w:rsidRDefault="005C7EA6" w:rsidP="00C60687">
            <w:pPr>
              <w:spacing w:after="120" w:line="360" w:lineRule="auto"/>
              <w:jc w:val="both"/>
              <w:rPr>
                <w:rFonts w:asciiTheme="minorBidi" w:hAnsiTheme="minorBidi"/>
                <w:lang w:val="en-ZA"/>
              </w:rPr>
            </w:pPr>
            <w:r w:rsidRPr="00C60687">
              <w:rPr>
                <w:rFonts w:asciiTheme="minorBidi" w:hAnsiTheme="minorBidi"/>
                <w:lang w:val="en-ZA"/>
              </w:rPr>
              <w:t>Is the research method appropriate to address the research question?</w:t>
            </w:r>
          </w:p>
        </w:tc>
      </w:tr>
      <w:tr w:rsidR="00C60687" w:rsidRPr="00C60687" w:rsidTr="005C7EA6">
        <w:tc>
          <w:tcPr>
            <w:tcW w:w="4851" w:type="dxa"/>
          </w:tcPr>
          <w:p w:rsidR="00C60687" w:rsidRPr="00C60687" w:rsidRDefault="00C60687" w:rsidP="00C60687">
            <w:pPr>
              <w:pStyle w:val="ListParagraph"/>
              <w:numPr>
                <w:ilvl w:val="0"/>
                <w:numId w:val="12"/>
              </w:numPr>
              <w:spacing w:after="120" w:line="360" w:lineRule="auto"/>
              <w:jc w:val="both"/>
              <w:rPr>
                <w:rFonts w:asciiTheme="minorBidi" w:hAnsiTheme="minorBidi"/>
                <w:lang w:val="en-ZA"/>
              </w:rPr>
            </w:pPr>
            <w:r w:rsidRPr="00C60687">
              <w:rPr>
                <w:rFonts w:asciiTheme="minorBidi" w:hAnsiTheme="minorBidi"/>
                <w:lang w:val="en-ZA"/>
              </w:rPr>
              <w:t>Yes.</w:t>
            </w:r>
          </w:p>
        </w:tc>
        <w:tc>
          <w:tcPr>
            <w:tcW w:w="4569" w:type="dxa"/>
            <w:shd w:val="diagStripe" w:color="auto" w:fill="auto"/>
          </w:tcPr>
          <w:p w:rsidR="00C60687" w:rsidRPr="005C7EA6" w:rsidRDefault="00C60687" w:rsidP="005C7EA6">
            <w:pPr>
              <w:spacing w:after="120" w:line="360" w:lineRule="auto"/>
              <w:ind w:left="360"/>
              <w:jc w:val="both"/>
              <w:rPr>
                <w:rFonts w:asciiTheme="minorBidi" w:hAnsiTheme="minorBidi"/>
                <w:lang w:val="en-ZA"/>
              </w:rPr>
            </w:pPr>
          </w:p>
        </w:tc>
      </w:tr>
      <w:tr w:rsidR="005C7EA6" w:rsidRPr="00C60687" w:rsidTr="00B9706C">
        <w:tc>
          <w:tcPr>
            <w:tcW w:w="9420" w:type="dxa"/>
            <w:gridSpan w:val="2"/>
          </w:tcPr>
          <w:p w:rsidR="005C7EA6" w:rsidRPr="00C60687" w:rsidRDefault="005C7EA6" w:rsidP="00C60687">
            <w:pPr>
              <w:spacing w:after="120" w:line="360" w:lineRule="auto"/>
              <w:jc w:val="both"/>
              <w:rPr>
                <w:rFonts w:asciiTheme="minorBidi" w:hAnsiTheme="minorBidi"/>
                <w:lang w:val="en-ZA"/>
              </w:rPr>
            </w:pPr>
            <w:r w:rsidRPr="00C60687">
              <w:rPr>
                <w:rFonts w:asciiTheme="minorBidi" w:hAnsiTheme="minorBidi"/>
                <w:lang w:val="en-ZA"/>
              </w:rPr>
              <w:t xml:space="preserve">Essentially, is this article suitable for publication in an ISI accredited journal? </w:t>
            </w:r>
          </w:p>
        </w:tc>
      </w:tr>
      <w:tr w:rsidR="00C60687" w:rsidRPr="00C60687" w:rsidTr="005C7EA6">
        <w:tc>
          <w:tcPr>
            <w:tcW w:w="4851" w:type="dxa"/>
          </w:tcPr>
          <w:p w:rsidR="00C60687" w:rsidRPr="00C60687" w:rsidRDefault="00C60687" w:rsidP="00C60687">
            <w:pPr>
              <w:pStyle w:val="ListParagraph"/>
              <w:numPr>
                <w:ilvl w:val="0"/>
                <w:numId w:val="14"/>
              </w:numPr>
              <w:spacing w:after="120" w:line="360" w:lineRule="auto"/>
              <w:jc w:val="both"/>
              <w:rPr>
                <w:rFonts w:asciiTheme="minorBidi" w:hAnsiTheme="minorBidi"/>
                <w:lang w:val="en-ZA"/>
              </w:rPr>
            </w:pPr>
            <w:r w:rsidRPr="00C60687">
              <w:rPr>
                <w:rFonts w:asciiTheme="minorBidi" w:hAnsiTheme="minorBidi"/>
                <w:lang w:val="en-ZA"/>
              </w:rPr>
              <w:t>Yes.</w:t>
            </w:r>
          </w:p>
        </w:tc>
        <w:tc>
          <w:tcPr>
            <w:tcW w:w="4569" w:type="dxa"/>
            <w:shd w:val="diagStripe" w:color="auto" w:fill="auto"/>
          </w:tcPr>
          <w:p w:rsidR="00C60687" w:rsidRPr="005C7EA6" w:rsidRDefault="00C60687" w:rsidP="005C7EA6">
            <w:pPr>
              <w:spacing w:after="120" w:line="360" w:lineRule="auto"/>
              <w:ind w:left="360"/>
              <w:jc w:val="both"/>
              <w:rPr>
                <w:rFonts w:asciiTheme="minorBidi" w:hAnsiTheme="minorBidi"/>
                <w:lang w:val="en-ZA"/>
              </w:rPr>
            </w:pPr>
          </w:p>
        </w:tc>
      </w:tr>
      <w:tr w:rsidR="005C7EA6" w:rsidRPr="00C60687" w:rsidTr="00A32643">
        <w:tc>
          <w:tcPr>
            <w:tcW w:w="9420" w:type="dxa"/>
            <w:gridSpan w:val="2"/>
          </w:tcPr>
          <w:p w:rsidR="005C7EA6" w:rsidRPr="00C60687" w:rsidRDefault="005C7EA6" w:rsidP="00C60687">
            <w:pPr>
              <w:spacing w:after="120" w:line="360" w:lineRule="auto"/>
              <w:jc w:val="both"/>
              <w:rPr>
                <w:rFonts w:asciiTheme="minorBidi" w:hAnsiTheme="minorBidi"/>
                <w:lang w:val="en-ZA"/>
              </w:rPr>
            </w:pPr>
            <w:r w:rsidRPr="00C60687">
              <w:rPr>
                <w:rFonts w:asciiTheme="minorBidi" w:hAnsiTheme="minorBidi"/>
                <w:lang w:val="en-ZA"/>
              </w:rPr>
              <w:t>Please, elaborate by providing feedback on the following points.</w:t>
            </w:r>
          </w:p>
        </w:tc>
      </w:tr>
      <w:tr w:rsidR="005C7EA6" w:rsidRPr="00C60687" w:rsidTr="000055C0">
        <w:tc>
          <w:tcPr>
            <w:tcW w:w="9420" w:type="dxa"/>
            <w:gridSpan w:val="2"/>
          </w:tcPr>
          <w:p w:rsidR="005C7EA6" w:rsidRDefault="005C7EA6" w:rsidP="00C60687">
            <w:pPr>
              <w:spacing w:after="120" w:line="360" w:lineRule="auto"/>
              <w:jc w:val="both"/>
              <w:rPr>
                <w:rFonts w:asciiTheme="minorBidi" w:hAnsiTheme="minorBidi"/>
                <w:lang w:val="en-ZA"/>
              </w:rPr>
            </w:pPr>
            <w:r w:rsidRPr="00C60687">
              <w:rPr>
                <w:rFonts w:asciiTheme="minorBidi" w:hAnsiTheme="minorBidi"/>
                <w:lang w:val="en-ZA"/>
              </w:rPr>
              <w:lastRenderedPageBreak/>
              <w:t xml:space="preserve">If it is not suitable, are the necessary adjustments extensive or minor? </w:t>
            </w:r>
          </w:p>
          <w:p w:rsidR="005C7EA6" w:rsidRPr="00C60687" w:rsidRDefault="00646B5D" w:rsidP="005C7EA6">
            <w:pPr>
              <w:spacing w:after="120" w:line="360" w:lineRule="auto"/>
              <w:jc w:val="both"/>
              <w:rPr>
                <w:rFonts w:asciiTheme="minorBidi" w:hAnsiTheme="minorBidi"/>
                <w:lang w:val="en-ZA"/>
              </w:rPr>
            </w:pPr>
            <w:r w:rsidRPr="005C7EA6">
              <w:rPr>
                <w:rFonts w:asciiTheme="minorBidi" w:hAnsiTheme="minorBidi"/>
                <w:lang w:val="en-ZA"/>
              </w:rPr>
              <w:t>What are those adjustments?</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C60687">
              <w:rPr>
                <w:rFonts w:asciiTheme="minorBidi" w:hAnsiTheme="minorBidi"/>
                <w:lang w:val="en-ZA"/>
              </w:rPr>
              <w:t>Clear sub-objective communicated at the beginning of the study (as described above).</w:t>
            </w:r>
          </w:p>
        </w:tc>
        <w:tc>
          <w:tcPr>
            <w:tcW w:w="4569" w:type="dxa"/>
          </w:tcPr>
          <w:p w:rsidR="00C60687" w:rsidRPr="00C60687" w:rsidRDefault="00D93669" w:rsidP="003F47FA">
            <w:pPr>
              <w:numPr>
                <w:ilvl w:val="1"/>
                <w:numId w:val="12"/>
              </w:numPr>
              <w:tabs>
                <w:tab w:val="clear" w:pos="1440"/>
                <w:tab w:val="num" w:pos="601"/>
              </w:tabs>
              <w:spacing w:after="120" w:line="360" w:lineRule="auto"/>
              <w:ind w:left="601" w:hanging="283"/>
              <w:jc w:val="both"/>
              <w:rPr>
                <w:rFonts w:asciiTheme="minorBidi" w:hAnsiTheme="minorBidi"/>
                <w:lang w:val="en-ZA"/>
              </w:rPr>
            </w:pPr>
            <w:r>
              <w:rPr>
                <w:rFonts w:asciiTheme="minorBidi" w:hAnsiTheme="minorBidi"/>
                <w:lang w:val="en-ZA"/>
              </w:rPr>
              <w:t>Done.</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C60687">
              <w:rPr>
                <w:rFonts w:asciiTheme="minorBidi" w:hAnsiTheme="minorBidi"/>
                <w:lang w:val="en-ZA"/>
              </w:rPr>
              <w:t xml:space="preserve">In the abstract, the following statement is made: “Financial reports were still predominantly presented in PDF format, which is a </w:t>
            </w:r>
            <w:r w:rsidRPr="000357D1">
              <w:rPr>
                <w:rFonts w:asciiTheme="minorBidi" w:hAnsiTheme="minorBidi"/>
                <w:highlight w:val="yellow"/>
                <w:lang w:val="en-ZA"/>
              </w:rPr>
              <w:t>reversal of trends towards HTML</w:t>
            </w:r>
            <w:r w:rsidRPr="00C60687">
              <w:rPr>
                <w:rFonts w:asciiTheme="minorBidi" w:hAnsiTheme="minorBidi"/>
                <w:lang w:val="en-ZA"/>
              </w:rPr>
              <w:t xml:space="preserve"> found in prior studies”. The results you obtain are not necessarily inconsistent with prior studies either internationally or South Africa (as documented in your review of results) but rather they are </w:t>
            </w:r>
            <w:r w:rsidRPr="000357D1">
              <w:rPr>
                <w:rFonts w:asciiTheme="minorBidi" w:hAnsiTheme="minorBidi"/>
                <w:highlight w:val="yellow"/>
                <w:lang w:val="en-ZA"/>
              </w:rPr>
              <w:t xml:space="preserve">inconsistent with </w:t>
            </w:r>
            <w:proofErr w:type="spellStart"/>
            <w:r w:rsidRPr="000357D1">
              <w:rPr>
                <w:rFonts w:asciiTheme="minorBidi" w:hAnsiTheme="minorBidi"/>
                <w:highlight w:val="yellow"/>
                <w:lang w:val="en-ZA"/>
              </w:rPr>
              <w:t>Hedlin’s</w:t>
            </w:r>
            <w:proofErr w:type="spellEnd"/>
            <w:r w:rsidRPr="000357D1">
              <w:rPr>
                <w:rFonts w:asciiTheme="minorBidi" w:hAnsiTheme="minorBidi"/>
                <w:highlight w:val="yellow"/>
                <w:lang w:val="en-ZA"/>
              </w:rPr>
              <w:t xml:space="preserve"> model of internet adoption. This needs to be communicated more clearly.</w:t>
            </w:r>
          </w:p>
        </w:tc>
        <w:tc>
          <w:tcPr>
            <w:tcW w:w="4569" w:type="dxa"/>
          </w:tcPr>
          <w:p w:rsidR="00C60687" w:rsidRPr="00C60687" w:rsidRDefault="000357D1" w:rsidP="003F47FA">
            <w:pPr>
              <w:numPr>
                <w:ilvl w:val="1"/>
                <w:numId w:val="12"/>
              </w:numPr>
              <w:tabs>
                <w:tab w:val="clear" w:pos="1440"/>
                <w:tab w:val="num" w:pos="601"/>
              </w:tabs>
              <w:spacing w:after="120" w:line="360" w:lineRule="auto"/>
              <w:ind w:left="601" w:hanging="283"/>
              <w:jc w:val="both"/>
              <w:rPr>
                <w:rFonts w:asciiTheme="minorBidi" w:hAnsiTheme="minorBidi"/>
                <w:lang w:val="en-ZA"/>
              </w:rPr>
            </w:pPr>
            <w:r>
              <w:rPr>
                <w:rFonts w:asciiTheme="minorBidi" w:hAnsiTheme="minorBidi"/>
                <w:lang w:val="en-ZA"/>
              </w:rPr>
              <w:t xml:space="preserve">Agreed. </w:t>
            </w:r>
            <w:r w:rsidR="007F065C">
              <w:rPr>
                <w:rFonts w:asciiTheme="minorBidi" w:hAnsiTheme="minorBidi"/>
                <w:lang w:val="en-ZA"/>
              </w:rPr>
              <w:t xml:space="preserve">The statement about ‘reversal’ was incorrect and is removed. </w:t>
            </w:r>
            <w:r>
              <w:rPr>
                <w:rFonts w:asciiTheme="minorBidi" w:hAnsiTheme="minorBidi"/>
                <w:lang w:val="en-ZA"/>
              </w:rPr>
              <w:t>We have made it clearer in the Abstract and Conclusion that the JSE companies remained in stage II</w:t>
            </w:r>
            <w:r w:rsidR="007F065C">
              <w:rPr>
                <w:rFonts w:asciiTheme="minorBidi" w:hAnsiTheme="minorBidi"/>
                <w:lang w:val="en-ZA"/>
              </w:rPr>
              <w:t xml:space="preserve">, instead of progressing to stage III, as proposed by </w:t>
            </w:r>
            <w:proofErr w:type="spellStart"/>
            <w:r w:rsidR="007F065C">
              <w:rPr>
                <w:rFonts w:asciiTheme="minorBidi" w:hAnsiTheme="minorBidi"/>
                <w:lang w:val="en-ZA"/>
              </w:rPr>
              <w:t>Hedlin</w:t>
            </w:r>
            <w:proofErr w:type="spellEnd"/>
            <w:r w:rsidR="007F065C">
              <w:rPr>
                <w:rFonts w:asciiTheme="minorBidi" w:hAnsiTheme="minorBidi"/>
                <w:lang w:val="en-ZA"/>
              </w:rPr>
              <w:t xml:space="preserve"> (1999).</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C60687">
              <w:rPr>
                <w:rFonts w:asciiTheme="minorBidi" w:hAnsiTheme="minorBidi"/>
                <w:lang w:val="en-ZA"/>
              </w:rPr>
              <w:t xml:space="preserve">When describing the sample, the 1st June 2012 was identified as the starting point for the selection of companies. </w:t>
            </w:r>
            <w:r w:rsidRPr="008C6AA1">
              <w:rPr>
                <w:rFonts w:asciiTheme="minorBidi" w:hAnsiTheme="minorBidi"/>
                <w:highlight w:val="yellow"/>
                <w:lang w:val="en-ZA"/>
              </w:rPr>
              <w:t>Why then, when determining the top 100 by market cap did the authors revert to the DEC 2011 for measurement thereof</w:t>
            </w:r>
            <w:r w:rsidRPr="00C60687">
              <w:rPr>
                <w:rFonts w:asciiTheme="minorBidi" w:hAnsiTheme="minorBidi"/>
                <w:lang w:val="en-ZA"/>
              </w:rPr>
              <w:t xml:space="preserve">? Moreover, when doing the industry comparison to ensure 50 companies in the sector, the authors again looked at the list as of June 2012 which makes the reference point to Dec 2011 for mkt cap appear inconsistent. </w:t>
            </w:r>
            <w:r w:rsidRPr="00795C7B">
              <w:rPr>
                <w:rFonts w:asciiTheme="minorBidi" w:hAnsiTheme="minorBidi"/>
                <w:highlight w:val="yellow"/>
                <w:lang w:val="en-ZA"/>
              </w:rPr>
              <w:t>I don’t think this is likely to have any impact on the selection of firms</w:t>
            </w:r>
            <w:r w:rsidRPr="00C60687">
              <w:rPr>
                <w:rFonts w:asciiTheme="minorBidi" w:hAnsiTheme="minorBidi"/>
                <w:lang w:val="en-ZA"/>
              </w:rPr>
              <w:t xml:space="preserve"> that would make any difference whatsoever to the results – I just wanted some clarity on why this was done and perhaps some </w:t>
            </w:r>
            <w:r w:rsidRPr="00795C7B">
              <w:rPr>
                <w:rFonts w:asciiTheme="minorBidi" w:hAnsiTheme="minorBidi"/>
                <w:highlight w:val="yellow"/>
                <w:lang w:val="en-ZA"/>
              </w:rPr>
              <w:t>explanation in the document could be added</w:t>
            </w:r>
            <w:r w:rsidRPr="00C60687">
              <w:rPr>
                <w:rFonts w:asciiTheme="minorBidi" w:hAnsiTheme="minorBidi"/>
                <w:lang w:val="en-ZA"/>
              </w:rPr>
              <w:t>.</w:t>
            </w:r>
          </w:p>
        </w:tc>
        <w:tc>
          <w:tcPr>
            <w:tcW w:w="4569" w:type="dxa"/>
          </w:tcPr>
          <w:p w:rsidR="00C60687" w:rsidRPr="00C60687" w:rsidRDefault="008C6AA1" w:rsidP="003F47FA">
            <w:pPr>
              <w:numPr>
                <w:ilvl w:val="1"/>
                <w:numId w:val="12"/>
              </w:numPr>
              <w:tabs>
                <w:tab w:val="clear" w:pos="1440"/>
                <w:tab w:val="num" w:pos="601"/>
              </w:tabs>
              <w:spacing w:after="120" w:line="360" w:lineRule="auto"/>
              <w:ind w:left="601" w:hanging="283"/>
              <w:jc w:val="both"/>
              <w:rPr>
                <w:rFonts w:asciiTheme="minorBidi" w:hAnsiTheme="minorBidi"/>
                <w:lang w:val="en-ZA"/>
              </w:rPr>
            </w:pPr>
            <w:r>
              <w:rPr>
                <w:rFonts w:asciiTheme="minorBidi" w:hAnsiTheme="minorBidi"/>
                <w:lang w:val="en-ZA"/>
              </w:rPr>
              <w:t xml:space="preserve">The primary reason for determining the top 100 as at 31/12/2011 was to include the same companies as was used in the </w:t>
            </w:r>
            <w:proofErr w:type="spellStart"/>
            <w:r>
              <w:rPr>
                <w:rFonts w:asciiTheme="minorBidi" w:hAnsiTheme="minorBidi"/>
                <w:lang w:val="en-ZA"/>
              </w:rPr>
              <w:t>E&amp;Y</w:t>
            </w:r>
            <w:proofErr w:type="spellEnd"/>
            <w:r>
              <w:rPr>
                <w:rFonts w:asciiTheme="minorBidi" w:hAnsiTheme="minorBidi"/>
                <w:lang w:val="en-ZA"/>
              </w:rPr>
              <w:t xml:space="preserve"> study (2012) on quality of integrated reporting. A further analyses is done (not reported in this paper) were the regression model includes the integrated reporting category as explanatory factor for the online IR score. The composition of the sample is described in more detail and additional endnotes are added</w:t>
            </w:r>
            <w:r w:rsidR="00795C7B">
              <w:rPr>
                <w:rFonts w:asciiTheme="minorBidi" w:hAnsiTheme="minorBidi"/>
                <w:lang w:val="en-ZA"/>
              </w:rPr>
              <w:t>, which hopefully provides more clarity. 97 companies appeared in both lists (June 2012 and Dec 2011).</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C60687">
              <w:rPr>
                <w:rFonts w:asciiTheme="minorBidi" w:hAnsiTheme="minorBidi"/>
                <w:lang w:val="en-ZA"/>
              </w:rPr>
              <w:lastRenderedPageBreak/>
              <w:t xml:space="preserve">In the results section, the following statement is made: “The South African Top 100 companies’ mean score of 47.9 percent compares slightly better with that of the UK and US, but still disconcertingly low, especially as many of the Top 100 companies also have cross-listings on the UK and US exchanges.” </w:t>
            </w:r>
            <w:r w:rsidRPr="00D06A74">
              <w:rPr>
                <w:rFonts w:asciiTheme="minorBidi" w:hAnsiTheme="minorBidi"/>
                <w:highlight w:val="yellow"/>
                <w:lang w:val="en-ZA"/>
              </w:rPr>
              <w:t>The phrase “as many” concerns me</w:t>
            </w:r>
            <w:r w:rsidRPr="00C60687">
              <w:rPr>
                <w:rFonts w:asciiTheme="minorBidi" w:hAnsiTheme="minorBidi"/>
                <w:lang w:val="en-ZA"/>
              </w:rPr>
              <w:t xml:space="preserve">. Firstly, the study of </w:t>
            </w:r>
            <w:proofErr w:type="spellStart"/>
            <w:r w:rsidRPr="00C60687">
              <w:rPr>
                <w:rFonts w:asciiTheme="minorBidi" w:hAnsiTheme="minorBidi"/>
                <w:lang w:val="en-ZA"/>
              </w:rPr>
              <w:t>Yannie</w:t>
            </w:r>
            <w:proofErr w:type="spellEnd"/>
            <w:r w:rsidRPr="00C60687">
              <w:rPr>
                <w:rFonts w:asciiTheme="minorBidi" w:hAnsiTheme="minorBidi"/>
                <w:lang w:val="en-ZA"/>
              </w:rPr>
              <w:t xml:space="preserve"> and Wan includes the top 30 of the FTSE 100 and the DOW 30 – </w:t>
            </w:r>
            <w:r w:rsidRPr="00D06A74">
              <w:rPr>
                <w:rFonts w:asciiTheme="minorBidi" w:hAnsiTheme="minorBidi"/>
                <w:highlight w:val="yellow"/>
                <w:lang w:val="en-ZA"/>
              </w:rPr>
              <w:t>possibly only 2 or 3 South African firms are included in the Top 30 on the FTSE and I cannot think of any in the DOW 30</w:t>
            </w:r>
            <w:r w:rsidRPr="00C60687">
              <w:rPr>
                <w:rFonts w:asciiTheme="minorBidi" w:hAnsiTheme="minorBidi"/>
                <w:lang w:val="en-ZA"/>
              </w:rPr>
              <w:t xml:space="preserve">. So, is it really likely that any more than a couple of South African firms would have been included in </w:t>
            </w:r>
            <w:proofErr w:type="spellStart"/>
            <w:r w:rsidRPr="00C60687">
              <w:rPr>
                <w:rFonts w:asciiTheme="minorBidi" w:hAnsiTheme="minorBidi"/>
                <w:lang w:val="en-ZA"/>
              </w:rPr>
              <w:t>Yannie</w:t>
            </w:r>
            <w:proofErr w:type="spellEnd"/>
            <w:r w:rsidRPr="00C60687">
              <w:rPr>
                <w:rFonts w:asciiTheme="minorBidi" w:hAnsiTheme="minorBidi"/>
                <w:lang w:val="en-ZA"/>
              </w:rPr>
              <w:t xml:space="preserve"> and </w:t>
            </w:r>
            <w:proofErr w:type="spellStart"/>
            <w:r w:rsidRPr="00C60687">
              <w:rPr>
                <w:rFonts w:asciiTheme="minorBidi" w:hAnsiTheme="minorBidi"/>
                <w:lang w:val="en-ZA"/>
              </w:rPr>
              <w:t>Wan’s</w:t>
            </w:r>
            <w:proofErr w:type="spellEnd"/>
            <w:r w:rsidRPr="00C60687">
              <w:rPr>
                <w:rFonts w:asciiTheme="minorBidi" w:hAnsiTheme="minorBidi"/>
                <w:lang w:val="en-ZA"/>
              </w:rPr>
              <w:t xml:space="preserve"> sample as you infer?</w:t>
            </w:r>
          </w:p>
        </w:tc>
        <w:tc>
          <w:tcPr>
            <w:tcW w:w="4569" w:type="dxa"/>
          </w:tcPr>
          <w:p w:rsidR="00C60687" w:rsidRPr="00C60687" w:rsidRDefault="00261AA5" w:rsidP="003F47FA">
            <w:pPr>
              <w:numPr>
                <w:ilvl w:val="1"/>
                <w:numId w:val="12"/>
              </w:numPr>
              <w:tabs>
                <w:tab w:val="num" w:pos="601"/>
              </w:tabs>
              <w:spacing w:after="120" w:line="360" w:lineRule="auto"/>
              <w:ind w:left="601" w:hanging="283"/>
              <w:jc w:val="both"/>
              <w:rPr>
                <w:rFonts w:asciiTheme="minorBidi" w:hAnsiTheme="minorBidi"/>
                <w:lang w:val="en-ZA"/>
              </w:rPr>
            </w:pPr>
            <w:r>
              <w:rPr>
                <w:rFonts w:asciiTheme="minorBidi" w:hAnsiTheme="minorBidi"/>
                <w:lang w:val="en-ZA"/>
              </w:rPr>
              <w:t>We did not intend to infer that ‘many’ JSE companies appear in the top 30 of Dow Jones or FTSE. Rather the intention was to convey that cross-listed companies disclose better. We rephrased it as follows: “</w:t>
            </w:r>
            <w:r w:rsidRPr="00261AA5">
              <w:rPr>
                <w:rFonts w:asciiTheme="minorBidi" w:hAnsiTheme="minorBidi"/>
                <w:lang w:val="en-ZA"/>
              </w:rPr>
              <w:t>Although the South African top 100 companies' mean score of 47</w:t>
            </w:r>
            <w:proofErr w:type="gramStart"/>
            <w:r w:rsidRPr="00261AA5">
              <w:rPr>
                <w:rFonts w:asciiTheme="minorBidi" w:hAnsiTheme="minorBidi"/>
                <w:lang w:val="en-ZA"/>
              </w:rPr>
              <w:t>,9</w:t>
            </w:r>
            <w:proofErr w:type="gramEnd"/>
            <w:r w:rsidRPr="00261AA5">
              <w:rPr>
                <w:rFonts w:asciiTheme="minorBidi" w:hAnsiTheme="minorBidi"/>
                <w:lang w:val="en-ZA"/>
              </w:rPr>
              <w:t xml:space="preserve"> per cent is slightly better</w:t>
            </w:r>
            <w:r w:rsidR="00AB040B">
              <w:rPr>
                <w:rFonts w:asciiTheme="minorBidi" w:hAnsiTheme="minorBidi"/>
                <w:lang w:val="en-ZA"/>
              </w:rPr>
              <w:t xml:space="preserve"> than </w:t>
            </w:r>
            <w:r w:rsidR="00A0032D">
              <w:rPr>
                <w:rFonts w:asciiTheme="minorBidi" w:hAnsiTheme="minorBidi"/>
                <w:lang w:val="en-ZA"/>
              </w:rPr>
              <w:t>our</w:t>
            </w:r>
            <w:r w:rsidR="00AB040B">
              <w:rPr>
                <w:rFonts w:asciiTheme="minorBidi" w:hAnsiTheme="minorBidi"/>
                <w:lang w:val="en-ZA"/>
              </w:rPr>
              <w:t xml:space="preserve"> full sample</w:t>
            </w:r>
            <w:r w:rsidR="00A0032D">
              <w:rPr>
                <w:rFonts w:asciiTheme="minorBidi" w:hAnsiTheme="minorBidi"/>
                <w:lang w:val="en-ZA"/>
              </w:rPr>
              <w:t>’s score</w:t>
            </w:r>
            <w:r w:rsidRPr="00261AA5">
              <w:rPr>
                <w:rFonts w:asciiTheme="minorBidi" w:hAnsiTheme="minorBidi"/>
                <w:lang w:val="en-ZA"/>
              </w:rPr>
              <w:t xml:space="preserve">, it is still disconcertingly low, especially since 27 of the top 100 JSE-listed companies are cross-listed on UK, USA or European exchanges (albeit not necessarily in the top 30 or top 100 of those exchanges). Being listed on a foreign stock exchange (in addition to the local exchange) was found to be significantly positive for online financial reporting quality by </w:t>
            </w:r>
            <w:proofErr w:type="spellStart"/>
            <w:r w:rsidRPr="00261AA5">
              <w:rPr>
                <w:rFonts w:asciiTheme="minorBidi" w:hAnsiTheme="minorBidi"/>
                <w:lang w:val="en-ZA"/>
              </w:rPr>
              <w:t>Debreceny</w:t>
            </w:r>
            <w:proofErr w:type="spellEnd"/>
            <w:r w:rsidRPr="00261AA5">
              <w:rPr>
                <w:rFonts w:asciiTheme="minorBidi" w:hAnsiTheme="minorBidi"/>
                <w:lang w:val="en-ZA"/>
              </w:rPr>
              <w:t xml:space="preserve">, </w:t>
            </w:r>
            <w:proofErr w:type="spellStart"/>
            <w:r w:rsidRPr="00261AA5">
              <w:rPr>
                <w:rFonts w:asciiTheme="minorBidi" w:hAnsiTheme="minorBidi"/>
                <w:lang w:val="en-ZA"/>
              </w:rPr>
              <w:t>Gray</w:t>
            </w:r>
            <w:proofErr w:type="spellEnd"/>
            <w:r w:rsidRPr="00261AA5">
              <w:rPr>
                <w:rFonts w:asciiTheme="minorBidi" w:hAnsiTheme="minorBidi"/>
                <w:lang w:val="en-ZA"/>
              </w:rPr>
              <w:t xml:space="preserve"> and Rahman (2002), </w:t>
            </w:r>
            <w:proofErr w:type="spellStart"/>
            <w:r w:rsidRPr="00261AA5">
              <w:rPr>
                <w:rFonts w:asciiTheme="minorBidi" w:hAnsiTheme="minorBidi"/>
                <w:lang w:val="en-ZA"/>
              </w:rPr>
              <w:t>Bollen</w:t>
            </w:r>
            <w:proofErr w:type="spellEnd"/>
            <w:r w:rsidRPr="00261AA5">
              <w:rPr>
                <w:rFonts w:asciiTheme="minorBidi" w:hAnsiTheme="minorBidi"/>
                <w:lang w:val="en-ZA"/>
              </w:rPr>
              <w:t xml:space="preserve"> et al. (2006) and </w:t>
            </w:r>
            <w:proofErr w:type="spellStart"/>
            <w:r w:rsidRPr="00261AA5">
              <w:rPr>
                <w:rFonts w:asciiTheme="minorBidi" w:hAnsiTheme="minorBidi"/>
                <w:lang w:val="en-ZA"/>
              </w:rPr>
              <w:t>Desoky</w:t>
            </w:r>
            <w:proofErr w:type="spellEnd"/>
            <w:r w:rsidRPr="00261AA5">
              <w:rPr>
                <w:rFonts w:asciiTheme="minorBidi" w:hAnsiTheme="minorBidi"/>
                <w:lang w:val="en-ZA"/>
              </w:rPr>
              <w:t xml:space="preserve"> (2009).</w:t>
            </w:r>
            <w:r>
              <w:rPr>
                <w:rFonts w:asciiTheme="minorBidi" w:hAnsiTheme="minorBidi"/>
                <w:lang w:val="en-ZA"/>
              </w:rPr>
              <w:t>”</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A0032D">
              <w:rPr>
                <w:rFonts w:asciiTheme="minorBidi" w:hAnsiTheme="minorBidi"/>
                <w:highlight w:val="yellow"/>
                <w:lang w:val="en-ZA"/>
              </w:rPr>
              <w:t xml:space="preserve">What is the </w:t>
            </w:r>
            <w:proofErr w:type="spellStart"/>
            <w:r w:rsidRPr="00A0032D">
              <w:rPr>
                <w:rFonts w:asciiTheme="minorBidi" w:hAnsiTheme="minorBidi"/>
                <w:highlight w:val="yellow"/>
                <w:lang w:val="en-ZA"/>
              </w:rPr>
              <w:t>XBRL</w:t>
            </w:r>
            <w:proofErr w:type="spellEnd"/>
            <w:r w:rsidRPr="00A0032D">
              <w:rPr>
                <w:rFonts w:asciiTheme="minorBidi" w:hAnsiTheme="minorBidi"/>
                <w:highlight w:val="yellow"/>
                <w:lang w:val="en-ZA"/>
              </w:rPr>
              <w:t xml:space="preserve"> project</w:t>
            </w:r>
            <w:r w:rsidRPr="00C60687">
              <w:rPr>
                <w:rFonts w:asciiTheme="minorBidi" w:hAnsiTheme="minorBidi"/>
                <w:lang w:val="en-ZA"/>
              </w:rPr>
              <w:t xml:space="preserve"> referred to on page 18 which some of the Top 100 companies </w:t>
            </w:r>
            <w:proofErr w:type="gramStart"/>
            <w:r w:rsidRPr="00C60687">
              <w:rPr>
                <w:rFonts w:asciiTheme="minorBidi" w:hAnsiTheme="minorBidi"/>
                <w:lang w:val="en-ZA"/>
              </w:rPr>
              <w:t>are</w:t>
            </w:r>
            <w:proofErr w:type="gramEnd"/>
            <w:r w:rsidRPr="00C60687">
              <w:rPr>
                <w:rFonts w:asciiTheme="minorBidi" w:hAnsiTheme="minorBidi"/>
                <w:lang w:val="en-ZA"/>
              </w:rPr>
              <w:t xml:space="preserve"> a part of? Perhaps an endnote explaining this would be helpful.</w:t>
            </w:r>
          </w:p>
        </w:tc>
        <w:tc>
          <w:tcPr>
            <w:tcW w:w="4569" w:type="dxa"/>
          </w:tcPr>
          <w:p w:rsidR="00C60687" w:rsidRPr="00C60687" w:rsidRDefault="00796D63" w:rsidP="003F47FA">
            <w:pPr>
              <w:numPr>
                <w:ilvl w:val="1"/>
                <w:numId w:val="12"/>
              </w:numPr>
              <w:tabs>
                <w:tab w:val="clear" w:pos="1440"/>
                <w:tab w:val="num" w:pos="601"/>
              </w:tabs>
              <w:spacing w:after="120" w:line="360" w:lineRule="auto"/>
              <w:ind w:left="601" w:hanging="283"/>
              <w:jc w:val="both"/>
              <w:rPr>
                <w:rFonts w:asciiTheme="minorBidi" w:hAnsiTheme="minorBidi"/>
                <w:lang w:val="en-ZA"/>
              </w:rPr>
            </w:pPr>
            <w:r>
              <w:rPr>
                <w:rFonts w:asciiTheme="minorBidi" w:hAnsiTheme="minorBidi"/>
                <w:lang w:val="en-ZA"/>
              </w:rPr>
              <w:t>Done. See endnote 8 please.</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C60687">
              <w:rPr>
                <w:rFonts w:asciiTheme="minorBidi" w:hAnsiTheme="minorBidi"/>
                <w:lang w:val="en-ZA"/>
              </w:rPr>
              <w:t xml:space="preserve">Table 2 could be redesigned to present the information on the comparative studies slightly better. That is, the fact that the results appear under the heading “N=205” is confusing as in fact, most of the comparative studies have much smaller samples and focus only on the large companies. I would suggest giving some thought as to the layout of the table to present the results more </w:t>
            </w:r>
            <w:r w:rsidRPr="00C60687">
              <w:rPr>
                <w:rFonts w:asciiTheme="minorBidi" w:hAnsiTheme="minorBidi"/>
                <w:lang w:val="en-ZA"/>
              </w:rPr>
              <w:lastRenderedPageBreak/>
              <w:t>accurately.</w:t>
            </w:r>
          </w:p>
        </w:tc>
        <w:tc>
          <w:tcPr>
            <w:tcW w:w="4569" w:type="dxa"/>
          </w:tcPr>
          <w:p w:rsidR="00C60687" w:rsidRPr="00C60687" w:rsidRDefault="00354A13" w:rsidP="003F47FA">
            <w:pPr>
              <w:numPr>
                <w:ilvl w:val="1"/>
                <w:numId w:val="12"/>
              </w:numPr>
              <w:tabs>
                <w:tab w:val="clear" w:pos="1440"/>
                <w:tab w:val="num" w:pos="601"/>
              </w:tabs>
              <w:spacing w:after="120" w:line="360" w:lineRule="auto"/>
              <w:ind w:left="601" w:hanging="283"/>
              <w:jc w:val="both"/>
              <w:rPr>
                <w:rFonts w:asciiTheme="minorBidi" w:hAnsiTheme="minorBidi"/>
                <w:lang w:val="en-ZA"/>
              </w:rPr>
            </w:pPr>
            <w:r>
              <w:rPr>
                <w:rFonts w:asciiTheme="minorBidi" w:hAnsiTheme="minorBidi"/>
                <w:lang w:val="en-ZA"/>
              </w:rPr>
              <w:lastRenderedPageBreak/>
              <w:t>We have split the table in</w:t>
            </w:r>
            <w:r w:rsidR="00697752">
              <w:rPr>
                <w:rFonts w:asciiTheme="minorBidi" w:hAnsiTheme="minorBidi"/>
                <w:lang w:val="en-ZA"/>
              </w:rPr>
              <w:t>to</w:t>
            </w:r>
            <w:r>
              <w:rPr>
                <w:rFonts w:asciiTheme="minorBidi" w:hAnsiTheme="minorBidi"/>
                <w:lang w:val="en-ZA"/>
              </w:rPr>
              <w:t xml:space="preserve"> two separate tables</w:t>
            </w:r>
            <w:r w:rsidR="00697752">
              <w:rPr>
                <w:rFonts w:asciiTheme="minorBidi" w:hAnsiTheme="minorBidi"/>
                <w:lang w:val="en-ZA"/>
              </w:rPr>
              <w:t xml:space="preserve">. Table 2 now addresses the results of our study alone </w:t>
            </w:r>
            <w:proofErr w:type="spellStart"/>
            <w:r w:rsidR="00697752">
              <w:rPr>
                <w:rFonts w:asciiTheme="minorBidi" w:hAnsiTheme="minorBidi"/>
                <w:lang w:val="en-ZA"/>
              </w:rPr>
              <w:t>i.r.o</w:t>
            </w:r>
            <w:proofErr w:type="spellEnd"/>
            <w:r w:rsidR="00697752">
              <w:rPr>
                <w:rFonts w:asciiTheme="minorBidi" w:hAnsiTheme="minorBidi"/>
                <w:lang w:val="en-ZA"/>
              </w:rPr>
              <w:t>. the different reports and reporting formats found. Table 3 makes a comparison to the prior SA studies.</w:t>
            </w:r>
          </w:p>
        </w:tc>
      </w:tr>
      <w:tr w:rsidR="00C60687" w:rsidRPr="00C60687" w:rsidTr="00B40080">
        <w:tc>
          <w:tcPr>
            <w:tcW w:w="4851" w:type="dxa"/>
          </w:tcPr>
          <w:p w:rsidR="00C60687" w:rsidRPr="00C60687" w:rsidRDefault="00C60687" w:rsidP="002C4404">
            <w:pPr>
              <w:numPr>
                <w:ilvl w:val="1"/>
                <w:numId w:val="12"/>
              </w:numPr>
              <w:tabs>
                <w:tab w:val="clear" w:pos="1440"/>
                <w:tab w:val="num" w:pos="633"/>
              </w:tabs>
              <w:spacing w:after="120" w:line="360" w:lineRule="auto"/>
              <w:ind w:left="633" w:hanging="284"/>
              <w:jc w:val="both"/>
              <w:rPr>
                <w:rFonts w:asciiTheme="minorBidi" w:hAnsiTheme="minorBidi"/>
                <w:lang w:val="en-ZA"/>
              </w:rPr>
            </w:pPr>
            <w:r w:rsidRPr="00C60687">
              <w:rPr>
                <w:rFonts w:asciiTheme="minorBidi" w:hAnsiTheme="minorBidi"/>
                <w:lang w:val="en-ZA"/>
              </w:rPr>
              <w:lastRenderedPageBreak/>
              <w:t>Grammar and editing as follows:</w:t>
            </w:r>
          </w:p>
        </w:tc>
        <w:tc>
          <w:tcPr>
            <w:tcW w:w="4569" w:type="dxa"/>
          </w:tcPr>
          <w:p w:rsidR="00C60687" w:rsidRPr="00C60687" w:rsidRDefault="00C60687" w:rsidP="002C4404">
            <w:pPr>
              <w:spacing w:after="120" w:line="360" w:lineRule="auto"/>
              <w:ind w:left="567"/>
              <w:jc w:val="both"/>
              <w:rPr>
                <w:rFonts w:asciiTheme="minorBidi" w:hAnsiTheme="minorBidi"/>
                <w:lang w:val="en-ZA"/>
              </w:rPr>
            </w:pPr>
          </w:p>
        </w:tc>
      </w:tr>
      <w:tr w:rsidR="00C60687" w:rsidRPr="00C60687" w:rsidTr="00B40080">
        <w:tc>
          <w:tcPr>
            <w:tcW w:w="4851" w:type="dxa"/>
          </w:tcPr>
          <w:p w:rsidR="00C60687" w:rsidRPr="00C60687" w:rsidRDefault="003F47FA" w:rsidP="003F47FA">
            <w:pPr>
              <w:pStyle w:val="ListParagraph"/>
              <w:numPr>
                <w:ilvl w:val="2"/>
                <w:numId w:val="12"/>
              </w:numPr>
              <w:tabs>
                <w:tab w:val="clear" w:pos="2160"/>
              </w:tabs>
              <w:spacing w:after="120" w:line="360" w:lineRule="auto"/>
              <w:ind w:left="1058" w:hanging="425"/>
              <w:jc w:val="both"/>
              <w:rPr>
                <w:rFonts w:asciiTheme="minorBidi" w:hAnsiTheme="minorBidi"/>
                <w:lang w:val="en-ZA"/>
              </w:rPr>
            </w:pPr>
            <w:r>
              <w:rPr>
                <w:rFonts w:asciiTheme="minorBidi" w:hAnsiTheme="minorBidi"/>
                <w:lang w:val="en-ZA"/>
              </w:rPr>
              <w:t xml:space="preserve">The </w:t>
            </w:r>
            <w:r w:rsidRPr="00577999">
              <w:rPr>
                <w:rFonts w:asciiTheme="minorBidi" w:hAnsiTheme="minorBidi"/>
                <w:highlight w:val="yellow"/>
                <w:lang w:val="en-ZA"/>
              </w:rPr>
              <w:t>document needs to be edited</w:t>
            </w:r>
            <w:r>
              <w:rPr>
                <w:rFonts w:asciiTheme="minorBidi" w:hAnsiTheme="minorBidi"/>
                <w:lang w:val="en-ZA"/>
              </w:rPr>
              <w:t xml:space="preserve"> as t</w:t>
            </w:r>
            <w:r w:rsidR="00C60687" w:rsidRPr="00C60687">
              <w:rPr>
                <w:rFonts w:asciiTheme="minorBidi" w:hAnsiTheme="minorBidi"/>
                <w:lang w:val="en-ZA"/>
              </w:rPr>
              <w:t xml:space="preserve">here are places where </w:t>
            </w:r>
            <w:r w:rsidR="00C60687" w:rsidRPr="00577999">
              <w:rPr>
                <w:rFonts w:asciiTheme="minorBidi" w:hAnsiTheme="minorBidi"/>
                <w:highlight w:val="yellow"/>
                <w:lang w:val="en-ZA"/>
              </w:rPr>
              <w:t>sentences are incomplete</w:t>
            </w:r>
            <w:r w:rsidR="00C60687" w:rsidRPr="00C60687">
              <w:rPr>
                <w:rFonts w:asciiTheme="minorBidi" w:hAnsiTheme="minorBidi"/>
                <w:lang w:val="en-ZA"/>
              </w:rPr>
              <w:t xml:space="preserve">. E.g. specification of the research question in the introduction: “answer is to what extend does the online IR practices” </w:t>
            </w:r>
          </w:p>
        </w:tc>
        <w:tc>
          <w:tcPr>
            <w:tcW w:w="4569" w:type="dxa"/>
          </w:tcPr>
          <w:p w:rsidR="00C60687" w:rsidRDefault="00577999" w:rsidP="00577999">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The paper has been sent for editing together with the reviewers’ comments. We trust that all is in order now.</w:t>
            </w:r>
          </w:p>
          <w:p w:rsidR="00577999" w:rsidRPr="00C60687" w:rsidRDefault="00577999" w:rsidP="00577999">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Regarding the example of the incomplete sentence, in our copy of the uploaded paper the sentence is complete?</w:t>
            </w:r>
          </w:p>
        </w:tc>
      </w:tr>
      <w:tr w:rsidR="00C60687" w:rsidRPr="00C60687" w:rsidTr="00B40080">
        <w:tc>
          <w:tcPr>
            <w:tcW w:w="4851" w:type="dxa"/>
          </w:tcPr>
          <w:p w:rsidR="00C60687" w:rsidRPr="00C60687" w:rsidRDefault="00C60687" w:rsidP="00577999">
            <w:pPr>
              <w:pStyle w:val="ListParagraph"/>
              <w:numPr>
                <w:ilvl w:val="2"/>
                <w:numId w:val="12"/>
              </w:numPr>
              <w:tabs>
                <w:tab w:val="clear" w:pos="2160"/>
              </w:tabs>
              <w:spacing w:after="120" w:line="360" w:lineRule="auto"/>
              <w:ind w:left="1058" w:hanging="425"/>
              <w:jc w:val="both"/>
              <w:rPr>
                <w:rFonts w:asciiTheme="minorBidi" w:hAnsiTheme="minorBidi"/>
                <w:lang w:val="en-ZA"/>
              </w:rPr>
            </w:pPr>
            <w:r w:rsidRPr="00C60687">
              <w:rPr>
                <w:rFonts w:asciiTheme="minorBidi" w:hAnsiTheme="minorBidi"/>
                <w:lang w:val="en-ZA"/>
              </w:rPr>
              <w:t xml:space="preserve">Some </w:t>
            </w:r>
            <w:r w:rsidRPr="00CB7424">
              <w:rPr>
                <w:rFonts w:asciiTheme="minorBidi" w:hAnsiTheme="minorBidi"/>
                <w:highlight w:val="yellow"/>
                <w:lang w:val="en-ZA"/>
              </w:rPr>
              <w:t>paragraphs are extremely long</w:t>
            </w:r>
            <w:r w:rsidRPr="00C60687">
              <w:rPr>
                <w:rFonts w:asciiTheme="minorBidi" w:hAnsiTheme="minorBidi"/>
                <w:lang w:val="en-ZA"/>
              </w:rPr>
              <w:t xml:space="preserve"> (e.g. first paragraph in the introduction, paragraph on page 7 etc.) which inhibits the readability of the document. </w:t>
            </w:r>
          </w:p>
        </w:tc>
        <w:tc>
          <w:tcPr>
            <w:tcW w:w="4569" w:type="dxa"/>
          </w:tcPr>
          <w:p w:rsidR="00C60687" w:rsidRPr="00C60687" w:rsidRDefault="00A95067" w:rsidP="003F47FA">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Paragraphs have been split up.</w:t>
            </w:r>
          </w:p>
        </w:tc>
      </w:tr>
      <w:tr w:rsidR="00C60687" w:rsidRPr="00C60687" w:rsidTr="00B40080">
        <w:tc>
          <w:tcPr>
            <w:tcW w:w="4851" w:type="dxa"/>
          </w:tcPr>
          <w:p w:rsidR="00C60687" w:rsidRPr="00C60687" w:rsidRDefault="00C60687" w:rsidP="002C4404">
            <w:pPr>
              <w:pStyle w:val="ListParagraph"/>
              <w:numPr>
                <w:ilvl w:val="2"/>
                <w:numId w:val="12"/>
              </w:numPr>
              <w:tabs>
                <w:tab w:val="clear" w:pos="2160"/>
              </w:tabs>
              <w:spacing w:after="120" w:line="360" w:lineRule="auto"/>
              <w:ind w:left="1058" w:hanging="425"/>
              <w:jc w:val="both"/>
              <w:rPr>
                <w:rFonts w:asciiTheme="minorBidi" w:hAnsiTheme="minorBidi"/>
                <w:lang w:val="en-ZA"/>
              </w:rPr>
            </w:pPr>
            <w:r w:rsidRPr="00C60687">
              <w:rPr>
                <w:rFonts w:asciiTheme="minorBidi" w:hAnsiTheme="minorBidi"/>
                <w:lang w:val="en-ZA"/>
              </w:rPr>
              <w:t xml:space="preserve">Section 3.1 has year and date </w:t>
            </w:r>
            <w:r w:rsidRPr="00CB7424">
              <w:rPr>
                <w:rFonts w:asciiTheme="minorBidi" w:hAnsiTheme="minorBidi"/>
                <w:highlight w:val="yellow"/>
                <w:lang w:val="en-ZA"/>
              </w:rPr>
              <w:t>references at the end of two sentences without the author’s name included</w:t>
            </w:r>
            <w:r w:rsidRPr="00C60687">
              <w:rPr>
                <w:rFonts w:asciiTheme="minorBidi" w:hAnsiTheme="minorBidi"/>
                <w:lang w:val="en-ZA"/>
              </w:rPr>
              <w:t xml:space="preserve">. </w:t>
            </w:r>
          </w:p>
        </w:tc>
        <w:tc>
          <w:tcPr>
            <w:tcW w:w="4569" w:type="dxa"/>
          </w:tcPr>
          <w:p w:rsidR="00C60687" w:rsidRPr="00C60687" w:rsidRDefault="00A95067" w:rsidP="003F47FA">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Done.</w:t>
            </w:r>
          </w:p>
        </w:tc>
      </w:tr>
      <w:tr w:rsidR="00C60687" w:rsidRPr="00C60687" w:rsidTr="00B40080">
        <w:tc>
          <w:tcPr>
            <w:tcW w:w="4851" w:type="dxa"/>
          </w:tcPr>
          <w:p w:rsidR="00C60687" w:rsidRPr="00C60687" w:rsidRDefault="00C60687" w:rsidP="002C4404">
            <w:pPr>
              <w:pStyle w:val="ListParagraph"/>
              <w:numPr>
                <w:ilvl w:val="2"/>
                <w:numId w:val="12"/>
              </w:numPr>
              <w:tabs>
                <w:tab w:val="clear" w:pos="2160"/>
              </w:tabs>
              <w:spacing w:after="120" w:line="360" w:lineRule="auto"/>
              <w:ind w:left="1058" w:hanging="425"/>
              <w:jc w:val="both"/>
              <w:rPr>
                <w:rFonts w:asciiTheme="minorBidi" w:hAnsiTheme="minorBidi"/>
                <w:lang w:val="en-ZA"/>
              </w:rPr>
            </w:pPr>
            <w:r w:rsidRPr="00C60687">
              <w:rPr>
                <w:rFonts w:asciiTheme="minorBidi" w:hAnsiTheme="minorBidi"/>
                <w:lang w:val="en-ZA"/>
              </w:rPr>
              <w:t xml:space="preserve">Page 12 – there are references to endnote 9 and 12 – but there are </w:t>
            </w:r>
            <w:r w:rsidRPr="00CB7424">
              <w:rPr>
                <w:rFonts w:asciiTheme="minorBidi" w:hAnsiTheme="minorBidi"/>
                <w:highlight w:val="yellow"/>
                <w:lang w:val="en-ZA"/>
              </w:rPr>
              <w:t>no endnotes 9 and 12</w:t>
            </w:r>
            <w:r w:rsidRPr="00C60687">
              <w:rPr>
                <w:rFonts w:asciiTheme="minorBidi" w:hAnsiTheme="minorBidi"/>
                <w:lang w:val="en-ZA"/>
              </w:rPr>
              <w:t xml:space="preserve">. </w:t>
            </w:r>
          </w:p>
        </w:tc>
        <w:tc>
          <w:tcPr>
            <w:tcW w:w="4569" w:type="dxa"/>
          </w:tcPr>
          <w:p w:rsidR="00C60687" w:rsidRPr="00C60687" w:rsidRDefault="00A95067" w:rsidP="008841B9">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 xml:space="preserve">These are not endnotes, but </w:t>
            </w:r>
            <w:r w:rsidR="008841B9">
              <w:rPr>
                <w:rFonts w:asciiTheme="minorBidi" w:hAnsiTheme="minorBidi"/>
                <w:lang w:val="en-ZA"/>
              </w:rPr>
              <w:t>an attempt to indicate</w:t>
            </w:r>
            <w:r>
              <w:rPr>
                <w:rFonts w:asciiTheme="minorBidi" w:hAnsiTheme="minorBidi"/>
                <w:lang w:val="en-ZA"/>
              </w:rPr>
              <w:t xml:space="preserve"> the </w:t>
            </w:r>
            <w:r w:rsidR="00CB7424">
              <w:rPr>
                <w:rFonts w:asciiTheme="minorBidi" w:hAnsiTheme="minorBidi"/>
                <w:lang w:val="en-ZA"/>
              </w:rPr>
              <w:t>scientific</w:t>
            </w:r>
            <w:r>
              <w:rPr>
                <w:rFonts w:asciiTheme="minorBidi" w:hAnsiTheme="minorBidi"/>
                <w:lang w:val="en-ZA"/>
              </w:rPr>
              <w:t xml:space="preserve"> notation of trillion and billion as </w:t>
            </w:r>
            <w:r w:rsidR="003E189A">
              <w:rPr>
                <w:rFonts w:asciiTheme="minorBidi" w:hAnsiTheme="minorBidi"/>
                <w:lang w:val="en-ZA"/>
              </w:rPr>
              <w:t xml:space="preserve">the </w:t>
            </w:r>
            <w:r>
              <w:rPr>
                <w:rFonts w:asciiTheme="minorBidi" w:hAnsiTheme="minorBidi"/>
                <w:lang w:val="en-ZA"/>
              </w:rPr>
              <w:t xml:space="preserve">US and UK </w:t>
            </w:r>
            <w:r w:rsidR="003E189A">
              <w:rPr>
                <w:rFonts w:asciiTheme="minorBidi" w:hAnsiTheme="minorBidi"/>
                <w:lang w:val="en-ZA"/>
              </w:rPr>
              <w:t>has</w:t>
            </w:r>
            <w:r>
              <w:rPr>
                <w:rFonts w:asciiTheme="minorBidi" w:hAnsiTheme="minorBidi"/>
                <w:lang w:val="en-ZA"/>
              </w:rPr>
              <w:t xml:space="preserve"> different conventions. </w:t>
            </w:r>
            <w:r w:rsidR="003E189A">
              <w:rPr>
                <w:rFonts w:asciiTheme="minorBidi" w:hAnsiTheme="minorBidi"/>
                <w:lang w:val="en-ZA"/>
              </w:rPr>
              <w:t>We have now used the hat ‘^’ to avoid confusion.</w:t>
            </w:r>
          </w:p>
        </w:tc>
      </w:tr>
      <w:tr w:rsidR="00C60687" w:rsidRPr="00C60687" w:rsidTr="00B40080">
        <w:tc>
          <w:tcPr>
            <w:tcW w:w="4851" w:type="dxa"/>
          </w:tcPr>
          <w:p w:rsidR="00C60687" w:rsidRPr="00C60687" w:rsidRDefault="00C60687" w:rsidP="002C4404">
            <w:pPr>
              <w:pStyle w:val="ListParagraph"/>
              <w:numPr>
                <w:ilvl w:val="2"/>
                <w:numId w:val="12"/>
              </w:numPr>
              <w:tabs>
                <w:tab w:val="clear" w:pos="2160"/>
              </w:tabs>
              <w:spacing w:after="120" w:line="360" w:lineRule="auto"/>
              <w:ind w:left="1058" w:hanging="425"/>
              <w:jc w:val="both"/>
              <w:rPr>
                <w:rFonts w:asciiTheme="minorBidi" w:hAnsiTheme="minorBidi"/>
                <w:lang w:val="en-ZA"/>
              </w:rPr>
            </w:pPr>
            <w:r w:rsidRPr="00C60687">
              <w:rPr>
                <w:rFonts w:asciiTheme="minorBidi" w:hAnsiTheme="minorBidi"/>
                <w:lang w:val="en-ZA"/>
              </w:rPr>
              <w:t xml:space="preserve">And, </w:t>
            </w:r>
            <w:r w:rsidRPr="00500453">
              <w:rPr>
                <w:rFonts w:asciiTheme="minorBidi" w:hAnsiTheme="minorBidi"/>
                <w:highlight w:val="yellow"/>
                <w:lang w:val="en-ZA"/>
              </w:rPr>
              <w:t>endnote 4 is not actually referred to in-text.</w:t>
            </w:r>
            <w:r w:rsidRPr="00C60687">
              <w:rPr>
                <w:rFonts w:asciiTheme="minorBidi" w:hAnsiTheme="minorBidi"/>
                <w:lang w:val="en-ZA"/>
              </w:rPr>
              <w:t xml:space="preserve"> </w:t>
            </w:r>
          </w:p>
        </w:tc>
        <w:tc>
          <w:tcPr>
            <w:tcW w:w="4569" w:type="dxa"/>
          </w:tcPr>
          <w:p w:rsidR="00C60687" w:rsidRPr="00C60687" w:rsidRDefault="008841B9" w:rsidP="008841B9">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In our copy of paper submitted</w:t>
            </w:r>
            <w:r w:rsidR="00C07594">
              <w:rPr>
                <w:rFonts w:asciiTheme="minorBidi" w:hAnsiTheme="minorBidi"/>
                <w:lang w:val="en-ZA"/>
              </w:rPr>
              <w:t>,</w:t>
            </w:r>
            <w:r>
              <w:rPr>
                <w:rFonts w:asciiTheme="minorBidi" w:hAnsiTheme="minorBidi"/>
                <w:lang w:val="en-ZA"/>
              </w:rPr>
              <w:t xml:space="preserve"> the in-text reference was on pg. 11, the 3</w:t>
            </w:r>
            <w:r w:rsidRPr="008841B9">
              <w:rPr>
                <w:rFonts w:asciiTheme="minorBidi" w:hAnsiTheme="minorBidi"/>
                <w:vertAlign w:val="superscript"/>
                <w:lang w:val="en-ZA"/>
              </w:rPr>
              <w:t>rd</w:t>
            </w:r>
            <w:r>
              <w:rPr>
                <w:rFonts w:asciiTheme="minorBidi" w:hAnsiTheme="minorBidi"/>
                <w:lang w:val="en-ZA"/>
              </w:rPr>
              <w:t xml:space="preserve"> sentence under section 3.4.</w:t>
            </w:r>
            <w:r w:rsidR="00C07594">
              <w:rPr>
                <w:rFonts w:asciiTheme="minorBidi" w:hAnsiTheme="minorBidi"/>
                <w:lang w:val="en-ZA"/>
              </w:rPr>
              <w:t xml:space="preserve"> In the updated paper it is </w:t>
            </w:r>
            <w:r w:rsidR="007D4465">
              <w:rPr>
                <w:rFonts w:asciiTheme="minorBidi" w:hAnsiTheme="minorBidi"/>
                <w:lang w:val="en-ZA"/>
              </w:rPr>
              <w:t xml:space="preserve">now endnote 5 and appears </w:t>
            </w:r>
            <w:r w:rsidR="00C07594">
              <w:rPr>
                <w:rFonts w:asciiTheme="minorBidi" w:hAnsiTheme="minorBidi"/>
                <w:lang w:val="en-ZA"/>
              </w:rPr>
              <w:t>on page 12, the 4</w:t>
            </w:r>
            <w:r w:rsidR="00C07594" w:rsidRPr="00C07594">
              <w:rPr>
                <w:rFonts w:asciiTheme="minorBidi" w:hAnsiTheme="minorBidi"/>
                <w:vertAlign w:val="superscript"/>
                <w:lang w:val="en-ZA"/>
              </w:rPr>
              <w:t>th</w:t>
            </w:r>
            <w:r w:rsidR="00C07594">
              <w:rPr>
                <w:rFonts w:asciiTheme="minorBidi" w:hAnsiTheme="minorBidi"/>
                <w:lang w:val="en-ZA"/>
              </w:rPr>
              <w:t xml:space="preserve"> sentence of section 3.4.</w:t>
            </w:r>
            <w:r w:rsidR="007D4465">
              <w:rPr>
                <w:rFonts w:asciiTheme="minorBidi" w:hAnsiTheme="minorBidi"/>
                <w:lang w:val="en-ZA"/>
              </w:rPr>
              <w:t xml:space="preserve"> Endnote 5 is again reference on page 13 in the middle of the first paragraph. It appears again between endnote 6 and 7.</w:t>
            </w:r>
          </w:p>
        </w:tc>
      </w:tr>
      <w:tr w:rsidR="00C60687" w:rsidRPr="00C60687" w:rsidTr="00B40080">
        <w:tc>
          <w:tcPr>
            <w:tcW w:w="4851" w:type="dxa"/>
          </w:tcPr>
          <w:p w:rsidR="00C60687" w:rsidRPr="00C60687" w:rsidRDefault="00C60687" w:rsidP="002C4404">
            <w:pPr>
              <w:pStyle w:val="ListParagraph"/>
              <w:numPr>
                <w:ilvl w:val="2"/>
                <w:numId w:val="12"/>
              </w:numPr>
              <w:tabs>
                <w:tab w:val="clear" w:pos="2160"/>
              </w:tabs>
              <w:spacing w:after="120" w:line="360" w:lineRule="auto"/>
              <w:ind w:left="1058" w:hanging="425"/>
              <w:jc w:val="both"/>
              <w:rPr>
                <w:rFonts w:asciiTheme="minorBidi" w:hAnsiTheme="minorBidi"/>
                <w:lang w:val="en-ZA"/>
              </w:rPr>
            </w:pPr>
            <w:r w:rsidRPr="00C60687">
              <w:rPr>
                <w:rFonts w:asciiTheme="minorBidi" w:hAnsiTheme="minorBidi"/>
                <w:lang w:val="en-ZA"/>
              </w:rPr>
              <w:lastRenderedPageBreak/>
              <w:t xml:space="preserve">In some places the </w:t>
            </w:r>
            <w:r w:rsidRPr="0058198C">
              <w:rPr>
                <w:rFonts w:asciiTheme="minorBidi" w:hAnsiTheme="minorBidi"/>
                <w:highlight w:val="yellow"/>
                <w:lang w:val="en-ZA"/>
              </w:rPr>
              <w:t>numbers</w:t>
            </w:r>
            <w:r w:rsidRPr="00C60687">
              <w:rPr>
                <w:rFonts w:asciiTheme="minorBidi" w:hAnsiTheme="minorBidi"/>
                <w:lang w:val="en-ZA"/>
              </w:rPr>
              <w:t xml:space="preserve"> are referred to a</w:t>
            </w:r>
            <w:r w:rsidR="00500453">
              <w:rPr>
                <w:rFonts w:asciiTheme="minorBidi" w:hAnsiTheme="minorBidi"/>
                <w:lang w:val="en-ZA"/>
              </w:rPr>
              <w:t>s</w:t>
            </w:r>
            <w:r w:rsidRPr="00C60687">
              <w:rPr>
                <w:rFonts w:asciiTheme="minorBidi" w:hAnsiTheme="minorBidi"/>
                <w:lang w:val="en-ZA"/>
              </w:rPr>
              <w:t xml:space="preserve"> “</w:t>
            </w:r>
            <w:r w:rsidRPr="0058198C">
              <w:rPr>
                <w:rFonts w:asciiTheme="minorBidi" w:hAnsiTheme="minorBidi"/>
                <w:highlight w:val="yellow"/>
                <w:lang w:val="en-ZA"/>
              </w:rPr>
              <w:t>thirty-three percent</w:t>
            </w:r>
            <w:r w:rsidRPr="00C60687">
              <w:rPr>
                <w:rFonts w:asciiTheme="minorBidi" w:hAnsiTheme="minorBidi"/>
                <w:lang w:val="en-ZA"/>
              </w:rPr>
              <w:t>” and others as “</w:t>
            </w:r>
            <w:r w:rsidRPr="0058198C">
              <w:rPr>
                <w:rFonts w:asciiTheme="minorBidi" w:hAnsiTheme="minorBidi"/>
                <w:highlight w:val="yellow"/>
                <w:lang w:val="en-ZA"/>
              </w:rPr>
              <w:t>33</w:t>
            </w:r>
            <w:r w:rsidRPr="00C60687">
              <w:rPr>
                <w:rFonts w:asciiTheme="minorBidi" w:hAnsiTheme="minorBidi"/>
                <w:lang w:val="en-ZA"/>
              </w:rPr>
              <w:t xml:space="preserve"> percent”. </w:t>
            </w:r>
            <w:r w:rsidRPr="0058198C">
              <w:rPr>
                <w:rFonts w:asciiTheme="minorBidi" w:hAnsiTheme="minorBidi"/>
                <w:highlight w:val="yellow"/>
                <w:lang w:val="en-ZA"/>
              </w:rPr>
              <w:t>Consistency</w:t>
            </w:r>
            <w:r w:rsidRPr="00C60687">
              <w:rPr>
                <w:rFonts w:asciiTheme="minorBidi" w:hAnsiTheme="minorBidi"/>
                <w:lang w:val="en-ZA"/>
              </w:rPr>
              <w:t xml:space="preserve"> needs to be applied here in line with the journal requirements. </w:t>
            </w:r>
          </w:p>
        </w:tc>
        <w:tc>
          <w:tcPr>
            <w:tcW w:w="4569" w:type="dxa"/>
          </w:tcPr>
          <w:p w:rsidR="00C60687" w:rsidRPr="00C60687" w:rsidRDefault="0058198C" w:rsidP="003F47FA">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We trust that the editor has found all inconsistent numbers.</w:t>
            </w:r>
          </w:p>
        </w:tc>
      </w:tr>
      <w:tr w:rsidR="00C60687" w:rsidRPr="00C60687" w:rsidTr="00B40080">
        <w:tc>
          <w:tcPr>
            <w:tcW w:w="4851" w:type="dxa"/>
          </w:tcPr>
          <w:p w:rsidR="00C60687" w:rsidRPr="00C60687" w:rsidRDefault="00C60687" w:rsidP="002C4404">
            <w:pPr>
              <w:pStyle w:val="ListParagraph"/>
              <w:numPr>
                <w:ilvl w:val="2"/>
                <w:numId w:val="12"/>
              </w:numPr>
              <w:tabs>
                <w:tab w:val="clear" w:pos="2160"/>
              </w:tabs>
              <w:spacing w:after="120" w:line="360" w:lineRule="auto"/>
              <w:ind w:left="1058" w:hanging="425"/>
              <w:jc w:val="both"/>
              <w:rPr>
                <w:rFonts w:asciiTheme="minorBidi" w:hAnsiTheme="minorBidi"/>
                <w:lang w:val="en-ZA"/>
              </w:rPr>
            </w:pPr>
            <w:r w:rsidRPr="00C60687">
              <w:rPr>
                <w:rFonts w:asciiTheme="minorBidi" w:hAnsiTheme="minorBidi"/>
                <w:lang w:val="en-ZA"/>
              </w:rPr>
              <w:t xml:space="preserve">Use of </w:t>
            </w:r>
            <w:r w:rsidRPr="004D5F27">
              <w:rPr>
                <w:rFonts w:asciiTheme="minorBidi" w:hAnsiTheme="minorBidi"/>
                <w:highlight w:val="yellow"/>
                <w:lang w:val="en-ZA"/>
              </w:rPr>
              <w:t>acronyms</w:t>
            </w:r>
            <w:r w:rsidRPr="00C60687">
              <w:rPr>
                <w:rFonts w:asciiTheme="minorBidi" w:hAnsiTheme="minorBidi"/>
                <w:lang w:val="en-ZA"/>
              </w:rPr>
              <w:t xml:space="preserve"> (that are not explained) and inconsistent e.g. US versus USA. PDF acronym defined at least twice but acronym used before the actual definition!</w:t>
            </w:r>
          </w:p>
        </w:tc>
        <w:tc>
          <w:tcPr>
            <w:tcW w:w="4569" w:type="dxa"/>
          </w:tcPr>
          <w:p w:rsidR="00C60687" w:rsidRPr="00C60687" w:rsidRDefault="004D5F27" w:rsidP="003F47FA">
            <w:pPr>
              <w:pStyle w:val="ListParagraph"/>
              <w:numPr>
                <w:ilvl w:val="2"/>
                <w:numId w:val="12"/>
              </w:numPr>
              <w:tabs>
                <w:tab w:val="clear" w:pos="2160"/>
              </w:tabs>
              <w:spacing w:after="120" w:line="360" w:lineRule="auto"/>
              <w:ind w:left="743" w:hanging="284"/>
              <w:jc w:val="both"/>
              <w:rPr>
                <w:rFonts w:asciiTheme="minorBidi" w:hAnsiTheme="minorBidi"/>
                <w:lang w:val="en-ZA"/>
              </w:rPr>
            </w:pPr>
            <w:r>
              <w:rPr>
                <w:rFonts w:asciiTheme="minorBidi" w:hAnsiTheme="minorBidi"/>
                <w:lang w:val="en-ZA"/>
              </w:rPr>
              <w:t>We trust that the editor has found all instances.</w:t>
            </w:r>
          </w:p>
        </w:tc>
      </w:tr>
    </w:tbl>
    <w:p w:rsidR="002F20A9" w:rsidRPr="00C74962" w:rsidRDefault="00F10BF4" w:rsidP="00C60687">
      <w:pPr>
        <w:spacing w:after="120" w:line="360" w:lineRule="auto"/>
        <w:jc w:val="both"/>
        <w:rPr>
          <w:rFonts w:asciiTheme="minorBidi" w:hAnsiTheme="minorBidi"/>
        </w:rPr>
      </w:pPr>
    </w:p>
    <w:sectPr w:rsidR="002F20A9" w:rsidRPr="00C74962" w:rsidSect="00C7496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BF4" w:rsidRDefault="00F10BF4" w:rsidP="00675419">
      <w:pPr>
        <w:spacing w:after="0" w:line="240" w:lineRule="auto"/>
      </w:pPr>
      <w:r>
        <w:separator/>
      </w:r>
    </w:p>
  </w:endnote>
  <w:endnote w:type="continuationSeparator" w:id="0">
    <w:p w:rsidR="00F10BF4" w:rsidRDefault="00F10BF4" w:rsidP="0067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9" w:rsidRDefault="006754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9" w:rsidRDefault="00675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9" w:rsidRDefault="00675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BF4" w:rsidRDefault="00F10BF4" w:rsidP="00675419">
      <w:pPr>
        <w:spacing w:after="0" w:line="240" w:lineRule="auto"/>
      </w:pPr>
      <w:r>
        <w:separator/>
      </w:r>
    </w:p>
  </w:footnote>
  <w:footnote w:type="continuationSeparator" w:id="0">
    <w:p w:rsidR="00F10BF4" w:rsidRDefault="00F10BF4" w:rsidP="00675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9" w:rsidRDefault="006754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9" w:rsidRDefault="006754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19" w:rsidRDefault="006754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94FCA"/>
    <w:multiLevelType w:val="multilevel"/>
    <w:tmpl w:val="6204A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8E2757"/>
    <w:multiLevelType w:val="multilevel"/>
    <w:tmpl w:val="518C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460A08"/>
    <w:multiLevelType w:val="multilevel"/>
    <w:tmpl w:val="1C80D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92F0368"/>
    <w:multiLevelType w:val="multilevel"/>
    <w:tmpl w:val="A77A9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FE7B00"/>
    <w:multiLevelType w:val="multilevel"/>
    <w:tmpl w:val="518C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0914662"/>
    <w:multiLevelType w:val="multilevel"/>
    <w:tmpl w:val="A2787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4024A07"/>
    <w:multiLevelType w:val="hybridMultilevel"/>
    <w:tmpl w:val="C4F0A5E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F243FF0"/>
    <w:multiLevelType w:val="multilevel"/>
    <w:tmpl w:val="518CF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1FB14AD"/>
    <w:multiLevelType w:val="multilevel"/>
    <w:tmpl w:val="CEFACC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6B3BF8"/>
    <w:multiLevelType w:val="multilevel"/>
    <w:tmpl w:val="BFE07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1D61B3"/>
    <w:multiLevelType w:val="multilevel"/>
    <w:tmpl w:val="BBCAC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9811379"/>
    <w:multiLevelType w:val="multilevel"/>
    <w:tmpl w:val="85520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AD22053"/>
    <w:multiLevelType w:val="multilevel"/>
    <w:tmpl w:val="B1BE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AF43FF2"/>
    <w:multiLevelType w:val="multilevel"/>
    <w:tmpl w:val="E01C2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5D"/>
    <w:rsid w:val="000130C8"/>
    <w:rsid w:val="000357D1"/>
    <w:rsid w:val="001861EF"/>
    <w:rsid w:val="00227CBF"/>
    <w:rsid w:val="00261AA5"/>
    <w:rsid w:val="002C4404"/>
    <w:rsid w:val="0034770C"/>
    <w:rsid w:val="00354A13"/>
    <w:rsid w:val="00390BA1"/>
    <w:rsid w:val="003E189A"/>
    <w:rsid w:val="003F47FA"/>
    <w:rsid w:val="003F76BA"/>
    <w:rsid w:val="00402F36"/>
    <w:rsid w:val="004568A4"/>
    <w:rsid w:val="00480FCC"/>
    <w:rsid w:val="004D5F27"/>
    <w:rsid w:val="00500453"/>
    <w:rsid w:val="00507A8A"/>
    <w:rsid w:val="005271C7"/>
    <w:rsid w:val="00577999"/>
    <w:rsid w:val="0058198C"/>
    <w:rsid w:val="005C7EA6"/>
    <w:rsid w:val="0060693F"/>
    <w:rsid w:val="006142D0"/>
    <w:rsid w:val="00646B5D"/>
    <w:rsid w:val="00675419"/>
    <w:rsid w:val="00697752"/>
    <w:rsid w:val="00795C7B"/>
    <w:rsid w:val="0079618F"/>
    <w:rsid w:val="00796D63"/>
    <w:rsid w:val="007D4465"/>
    <w:rsid w:val="007F065C"/>
    <w:rsid w:val="008841B9"/>
    <w:rsid w:val="008C6AA1"/>
    <w:rsid w:val="008E04B3"/>
    <w:rsid w:val="008F79FD"/>
    <w:rsid w:val="00A0032D"/>
    <w:rsid w:val="00A95067"/>
    <w:rsid w:val="00AB040B"/>
    <w:rsid w:val="00B40080"/>
    <w:rsid w:val="00B93190"/>
    <w:rsid w:val="00C07594"/>
    <w:rsid w:val="00C55492"/>
    <w:rsid w:val="00C60687"/>
    <w:rsid w:val="00C74962"/>
    <w:rsid w:val="00C81629"/>
    <w:rsid w:val="00CB7424"/>
    <w:rsid w:val="00CD47E0"/>
    <w:rsid w:val="00D06A74"/>
    <w:rsid w:val="00D606B7"/>
    <w:rsid w:val="00D745BD"/>
    <w:rsid w:val="00D87B48"/>
    <w:rsid w:val="00D93669"/>
    <w:rsid w:val="00DD44D5"/>
    <w:rsid w:val="00E46321"/>
    <w:rsid w:val="00F10BF4"/>
    <w:rsid w:val="00F6662D"/>
    <w:rsid w:val="00FF081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8A"/>
    <w:pPr>
      <w:ind w:left="720"/>
      <w:contextualSpacing/>
    </w:pPr>
  </w:style>
  <w:style w:type="paragraph" w:styleId="Header">
    <w:name w:val="header"/>
    <w:basedOn w:val="Normal"/>
    <w:link w:val="HeaderChar"/>
    <w:uiPriority w:val="99"/>
    <w:unhideWhenUsed/>
    <w:rsid w:val="0067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419"/>
    <w:rPr>
      <w:lang w:val="en-GB"/>
    </w:rPr>
  </w:style>
  <w:style w:type="paragraph" w:styleId="Footer">
    <w:name w:val="footer"/>
    <w:basedOn w:val="Normal"/>
    <w:link w:val="FooterChar"/>
    <w:uiPriority w:val="99"/>
    <w:unhideWhenUsed/>
    <w:rsid w:val="0067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419"/>
    <w:rPr>
      <w:lang w:val="en-GB"/>
    </w:rPr>
  </w:style>
  <w:style w:type="table" w:styleId="TableGrid">
    <w:name w:val="Table Grid"/>
    <w:basedOn w:val="TableNormal"/>
    <w:uiPriority w:val="59"/>
    <w:rsid w:val="00C6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8A"/>
    <w:pPr>
      <w:ind w:left="720"/>
      <w:contextualSpacing/>
    </w:pPr>
  </w:style>
  <w:style w:type="paragraph" w:styleId="Header">
    <w:name w:val="header"/>
    <w:basedOn w:val="Normal"/>
    <w:link w:val="HeaderChar"/>
    <w:uiPriority w:val="99"/>
    <w:unhideWhenUsed/>
    <w:rsid w:val="0067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419"/>
    <w:rPr>
      <w:lang w:val="en-GB"/>
    </w:rPr>
  </w:style>
  <w:style w:type="paragraph" w:styleId="Footer">
    <w:name w:val="footer"/>
    <w:basedOn w:val="Normal"/>
    <w:link w:val="FooterChar"/>
    <w:uiPriority w:val="99"/>
    <w:unhideWhenUsed/>
    <w:rsid w:val="0067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419"/>
    <w:rPr>
      <w:lang w:val="en-GB"/>
    </w:rPr>
  </w:style>
  <w:style w:type="table" w:styleId="TableGrid">
    <w:name w:val="Table Grid"/>
    <w:basedOn w:val="TableNormal"/>
    <w:uiPriority w:val="59"/>
    <w:rsid w:val="00C6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80742">
      <w:bodyDiv w:val="1"/>
      <w:marLeft w:val="0"/>
      <w:marRight w:val="0"/>
      <w:marTop w:val="0"/>
      <w:marBottom w:val="0"/>
      <w:divBdr>
        <w:top w:val="none" w:sz="0" w:space="0" w:color="auto"/>
        <w:left w:val="none" w:sz="0" w:space="0" w:color="auto"/>
        <w:bottom w:val="none" w:sz="0" w:space="0" w:color="auto"/>
        <w:right w:val="none" w:sz="0" w:space="0" w:color="auto"/>
      </w:divBdr>
    </w:div>
    <w:div w:id="15129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Esterhuyse</dc:creator>
  <cp:lastModifiedBy>L Esterhuyse</cp:lastModifiedBy>
  <cp:revision>2</cp:revision>
  <dcterms:created xsi:type="dcterms:W3CDTF">2016-01-28T18:07:00Z</dcterms:created>
  <dcterms:modified xsi:type="dcterms:W3CDTF">2016-01-28T18:07:00Z</dcterms:modified>
</cp:coreProperties>
</file>