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300"/>
        <w:tblW w:w="13334" w:type="dxa"/>
        <w:tblLayout w:type="fixed"/>
        <w:tblLook w:val="04A0" w:firstRow="1" w:lastRow="0" w:firstColumn="1" w:lastColumn="0" w:noHBand="0" w:noVBand="1"/>
      </w:tblPr>
      <w:tblGrid>
        <w:gridCol w:w="5098"/>
        <w:gridCol w:w="851"/>
        <w:gridCol w:w="850"/>
        <w:gridCol w:w="851"/>
        <w:gridCol w:w="5684"/>
      </w:tblGrid>
      <w:tr w:rsidR="002000AE" w:rsidRPr="00E533C8" w:rsidTr="001A19D3">
        <w:trPr>
          <w:trHeight w:val="558"/>
        </w:trPr>
        <w:tc>
          <w:tcPr>
            <w:tcW w:w="5098" w:type="dxa"/>
          </w:tcPr>
          <w:p w:rsidR="002000AE" w:rsidRPr="00DB7381" w:rsidRDefault="002000AE" w:rsidP="00764583">
            <w:pPr>
              <w:jc w:val="center"/>
              <w:rPr>
                <w:rFonts w:ascii="Arial" w:hAnsi="Arial" w:cs="Arial"/>
                <w:sz w:val="24"/>
                <w:szCs w:val="24"/>
              </w:rPr>
            </w:pPr>
            <w:bookmarkStart w:id="0" w:name="_GoBack"/>
            <w:bookmarkEnd w:id="0"/>
            <w:r w:rsidRPr="00DB7381">
              <w:rPr>
                <w:rFonts w:ascii="Arial" w:hAnsi="Arial" w:cs="Arial"/>
                <w:sz w:val="24"/>
                <w:szCs w:val="24"/>
              </w:rPr>
              <w:t>Comment</w:t>
            </w:r>
          </w:p>
        </w:tc>
        <w:tc>
          <w:tcPr>
            <w:tcW w:w="851" w:type="dxa"/>
          </w:tcPr>
          <w:p w:rsidR="002000AE" w:rsidRPr="00DB7381" w:rsidRDefault="002000AE" w:rsidP="00764583">
            <w:pPr>
              <w:jc w:val="center"/>
              <w:rPr>
                <w:rFonts w:ascii="Arial" w:hAnsi="Arial" w:cs="Arial"/>
                <w:sz w:val="24"/>
                <w:szCs w:val="24"/>
              </w:rPr>
            </w:pPr>
            <w:r w:rsidRPr="00DB7381">
              <w:rPr>
                <w:rFonts w:ascii="Arial" w:hAnsi="Arial" w:cs="Arial"/>
                <w:sz w:val="24"/>
                <w:szCs w:val="24"/>
              </w:rPr>
              <w:t>Editor</w:t>
            </w:r>
          </w:p>
        </w:tc>
        <w:tc>
          <w:tcPr>
            <w:tcW w:w="850" w:type="dxa"/>
          </w:tcPr>
          <w:p w:rsidR="002000AE" w:rsidRPr="00DB7381" w:rsidRDefault="001A19D3" w:rsidP="001A19D3">
            <w:pPr>
              <w:jc w:val="center"/>
              <w:rPr>
                <w:rFonts w:ascii="Arial" w:hAnsi="Arial" w:cs="Arial"/>
                <w:sz w:val="24"/>
                <w:szCs w:val="24"/>
              </w:rPr>
            </w:pPr>
            <w:r>
              <w:rPr>
                <w:rFonts w:ascii="Arial" w:hAnsi="Arial" w:cs="Arial"/>
                <w:sz w:val="24"/>
                <w:szCs w:val="24"/>
              </w:rPr>
              <w:t>1</w:t>
            </w:r>
            <w:r w:rsidRPr="001A19D3">
              <w:rPr>
                <w:rFonts w:ascii="Arial" w:hAnsi="Arial" w:cs="Arial"/>
                <w:sz w:val="24"/>
                <w:szCs w:val="24"/>
                <w:vertAlign w:val="superscript"/>
              </w:rPr>
              <w:t>st</w:t>
            </w:r>
            <w:r>
              <w:rPr>
                <w:rFonts w:ascii="Arial" w:hAnsi="Arial" w:cs="Arial"/>
                <w:sz w:val="24"/>
                <w:szCs w:val="24"/>
              </w:rPr>
              <w:t xml:space="preserve">  R</w:t>
            </w:r>
            <w:r w:rsidR="002000AE" w:rsidRPr="00DB7381">
              <w:rPr>
                <w:rFonts w:ascii="Arial" w:hAnsi="Arial" w:cs="Arial"/>
                <w:sz w:val="24"/>
                <w:szCs w:val="24"/>
              </w:rPr>
              <w:t>eviewer</w:t>
            </w:r>
          </w:p>
        </w:tc>
        <w:tc>
          <w:tcPr>
            <w:tcW w:w="851" w:type="dxa"/>
          </w:tcPr>
          <w:p w:rsidR="002000AE" w:rsidRPr="00DB7381" w:rsidRDefault="001A19D3" w:rsidP="001A19D3">
            <w:pPr>
              <w:jc w:val="center"/>
              <w:rPr>
                <w:rFonts w:ascii="Arial" w:hAnsi="Arial" w:cs="Arial"/>
                <w:sz w:val="24"/>
                <w:szCs w:val="24"/>
              </w:rPr>
            </w:pPr>
            <w:r>
              <w:rPr>
                <w:rFonts w:ascii="Arial" w:hAnsi="Arial" w:cs="Arial"/>
                <w:sz w:val="24"/>
                <w:szCs w:val="24"/>
              </w:rPr>
              <w:t>2</w:t>
            </w:r>
            <w:r w:rsidRPr="001A19D3">
              <w:rPr>
                <w:rFonts w:ascii="Arial" w:hAnsi="Arial" w:cs="Arial"/>
                <w:sz w:val="24"/>
                <w:szCs w:val="24"/>
                <w:vertAlign w:val="superscript"/>
              </w:rPr>
              <w:t>nd</w:t>
            </w:r>
            <w:r>
              <w:rPr>
                <w:rFonts w:ascii="Arial" w:hAnsi="Arial" w:cs="Arial"/>
                <w:sz w:val="24"/>
                <w:szCs w:val="24"/>
              </w:rPr>
              <w:t xml:space="preserve"> </w:t>
            </w:r>
            <w:r w:rsidR="002000AE" w:rsidRPr="00DB7381">
              <w:rPr>
                <w:rFonts w:ascii="Arial" w:hAnsi="Arial" w:cs="Arial"/>
                <w:sz w:val="24"/>
                <w:szCs w:val="24"/>
              </w:rPr>
              <w:t xml:space="preserve"> Reviewer</w:t>
            </w:r>
          </w:p>
        </w:tc>
        <w:tc>
          <w:tcPr>
            <w:tcW w:w="5684" w:type="dxa"/>
          </w:tcPr>
          <w:p w:rsidR="002000AE" w:rsidRPr="00DB7381" w:rsidRDefault="002000AE" w:rsidP="00764583">
            <w:pPr>
              <w:jc w:val="center"/>
              <w:rPr>
                <w:rFonts w:ascii="Arial" w:hAnsi="Arial" w:cs="Arial"/>
                <w:sz w:val="24"/>
                <w:szCs w:val="24"/>
              </w:rPr>
            </w:pPr>
            <w:r w:rsidRPr="00DB7381">
              <w:rPr>
                <w:rFonts w:ascii="Arial" w:hAnsi="Arial" w:cs="Arial"/>
                <w:sz w:val="24"/>
                <w:szCs w:val="24"/>
              </w:rPr>
              <w:t>Response</w:t>
            </w:r>
          </w:p>
        </w:tc>
      </w:tr>
      <w:tr w:rsidR="002000AE" w:rsidRPr="00E533C8" w:rsidTr="001A19D3">
        <w:trPr>
          <w:trHeight w:val="558"/>
        </w:trPr>
        <w:tc>
          <w:tcPr>
            <w:tcW w:w="5098" w:type="dxa"/>
          </w:tcPr>
          <w:p w:rsidR="002000AE" w:rsidRPr="00DB7381" w:rsidRDefault="002000AE" w:rsidP="002000AE">
            <w:pPr>
              <w:jc w:val="center"/>
              <w:rPr>
                <w:rFonts w:ascii="Arial" w:hAnsi="Arial" w:cs="Arial"/>
                <w:b/>
                <w:sz w:val="24"/>
                <w:szCs w:val="24"/>
              </w:rPr>
            </w:pPr>
            <w:r>
              <w:rPr>
                <w:rFonts w:ascii="Arial" w:hAnsi="Arial" w:cs="Arial"/>
                <w:b/>
                <w:sz w:val="24"/>
                <w:szCs w:val="24"/>
              </w:rPr>
              <w:t>Review 1385</w:t>
            </w:r>
          </w:p>
        </w:tc>
        <w:tc>
          <w:tcPr>
            <w:tcW w:w="851" w:type="dxa"/>
          </w:tcPr>
          <w:p w:rsidR="002000AE" w:rsidRDefault="002000AE" w:rsidP="002000AE">
            <w:pPr>
              <w:jc w:val="center"/>
              <w:rPr>
                <w:rFonts w:ascii="Arial" w:hAnsi="Arial" w:cs="Arial"/>
                <w:b/>
                <w:sz w:val="24"/>
                <w:szCs w:val="24"/>
              </w:rPr>
            </w:pPr>
          </w:p>
        </w:tc>
        <w:tc>
          <w:tcPr>
            <w:tcW w:w="850" w:type="dxa"/>
          </w:tcPr>
          <w:p w:rsidR="002000AE" w:rsidRDefault="002000AE" w:rsidP="00764583">
            <w:pPr>
              <w:jc w:val="center"/>
              <w:rPr>
                <w:rFonts w:ascii="Arial" w:hAnsi="Arial" w:cs="Arial"/>
                <w:b/>
                <w:sz w:val="24"/>
                <w:szCs w:val="24"/>
              </w:rPr>
            </w:pPr>
          </w:p>
        </w:tc>
        <w:tc>
          <w:tcPr>
            <w:tcW w:w="851" w:type="dxa"/>
          </w:tcPr>
          <w:p w:rsidR="002000AE" w:rsidRDefault="002000AE" w:rsidP="00764583">
            <w:pPr>
              <w:jc w:val="center"/>
              <w:rPr>
                <w:rFonts w:ascii="Arial" w:hAnsi="Arial" w:cs="Arial"/>
                <w:b/>
                <w:sz w:val="24"/>
                <w:szCs w:val="24"/>
              </w:rPr>
            </w:pPr>
          </w:p>
        </w:tc>
        <w:tc>
          <w:tcPr>
            <w:tcW w:w="5684" w:type="dxa"/>
          </w:tcPr>
          <w:p w:rsidR="002000AE" w:rsidRDefault="002000AE" w:rsidP="00764583">
            <w:pPr>
              <w:jc w:val="center"/>
              <w:rPr>
                <w:rFonts w:ascii="Arial" w:hAnsi="Arial" w:cs="Arial"/>
                <w:b/>
                <w:sz w:val="24"/>
                <w:szCs w:val="24"/>
              </w:rPr>
            </w:pPr>
          </w:p>
        </w:tc>
      </w:tr>
      <w:tr w:rsidR="00457D76" w:rsidRPr="00E533C8" w:rsidTr="001A19D3">
        <w:trPr>
          <w:trHeight w:val="248"/>
        </w:trPr>
        <w:tc>
          <w:tcPr>
            <w:tcW w:w="5098" w:type="dxa"/>
          </w:tcPr>
          <w:p w:rsidR="00457D76" w:rsidRPr="005D163F" w:rsidRDefault="00457D76" w:rsidP="002000AE">
            <w:pPr>
              <w:jc w:val="both"/>
            </w:pPr>
            <w:r>
              <w:t>All comments in text</w:t>
            </w:r>
          </w:p>
        </w:tc>
        <w:tc>
          <w:tcPr>
            <w:tcW w:w="851" w:type="dxa"/>
          </w:tcPr>
          <w:p w:rsidR="00457D76" w:rsidRPr="00E533C8" w:rsidRDefault="00457D76" w:rsidP="002000AE">
            <w:pPr>
              <w:rPr>
                <w:rFonts w:ascii="Arial" w:hAnsi="Arial" w:cs="Arial"/>
                <w:sz w:val="24"/>
                <w:szCs w:val="24"/>
              </w:rPr>
            </w:pPr>
          </w:p>
        </w:tc>
        <w:tc>
          <w:tcPr>
            <w:tcW w:w="850" w:type="dxa"/>
          </w:tcPr>
          <w:p w:rsidR="00457D76" w:rsidRPr="00E533C8" w:rsidRDefault="00457D76" w:rsidP="00764583">
            <w:pPr>
              <w:rPr>
                <w:rFonts w:ascii="Arial" w:hAnsi="Arial" w:cs="Arial"/>
                <w:sz w:val="24"/>
                <w:szCs w:val="24"/>
              </w:rPr>
            </w:pPr>
            <w:r>
              <w:rPr>
                <w:rFonts w:ascii="Arial" w:hAnsi="Arial" w:cs="Arial"/>
                <w:sz w:val="24"/>
                <w:szCs w:val="24"/>
              </w:rPr>
              <w:t>1</w:t>
            </w:r>
          </w:p>
        </w:tc>
        <w:tc>
          <w:tcPr>
            <w:tcW w:w="851" w:type="dxa"/>
          </w:tcPr>
          <w:p w:rsidR="00457D76" w:rsidRDefault="00457D76" w:rsidP="00764583">
            <w:pPr>
              <w:rPr>
                <w:rFonts w:ascii="Arial" w:hAnsi="Arial" w:cs="Arial"/>
                <w:sz w:val="24"/>
                <w:szCs w:val="24"/>
              </w:rPr>
            </w:pPr>
          </w:p>
        </w:tc>
        <w:tc>
          <w:tcPr>
            <w:tcW w:w="5684" w:type="dxa"/>
          </w:tcPr>
          <w:p w:rsidR="00457D76" w:rsidRDefault="00457D76" w:rsidP="00764583">
            <w:pPr>
              <w:rPr>
                <w:rFonts w:ascii="Arial" w:hAnsi="Arial" w:cs="Arial"/>
                <w:sz w:val="24"/>
                <w:szCs w:val="24"/>
              </w:rPr>
            </w:pPr>
            <w:r>
              <w:rPr>
                <w:rFonts w:ascii="Arial" w:hAnsi="Arial" w:cs="Arial"/>
                <w:sz w:val="24"/>
                <w:szCs w:val="24"/>
              </w:rPr>
              <w:t>Addressed on</w:t>
            </w:r>
            <w:r w:rsidR="0084194F">
              <w:rPr>
                <w:rFonts w:ascii="Arial" w:hAnsi="Arial" w:cs="Arial"/>
                <w:sz w:val="24"/>
                <w:szCs w:val="24"/>
              </w:rPr>
              <w:t>e</w:t>
            </w:r>
            <w:r>
              <w:rPr>
                <w:rFonts w:ascii="Arial" w:hAnsi="Arial" w:cs="Arial"/>
                <w:sz w:val="24"/>
                <w:szCs w:val="24"/>
              </w:rPr>
              <w:t xml:space="preserve"> by one – very useful to improve the document </w:t>
            </w:r>
          </w:p>
        </w:tc>
      </w:tr>
      <w:tr w:rsidR="002000AE" w:rsidRPr="00E533C8" w:rsidTr="001A19D3">
        <w:trPr>
          <w:trHeight w:val="248"/>
        </w:trPr>
        <w:tc>
          <w:tcPr>
            <w:tcW w:w="5098" w:type="dxa"/>
          </w:tcPr>
          <w:p w:rsidR="002000AE" w:rsidRPr="001A19D3" w:rsidRDefault="002000AE" w:rsidP="001A19D3">
            <w:pPr>
              <w:jc w:val="both"/>
            </w:pPr>
            <w:r w:rsidRPr="005D163F">
              <w:t xml:space="preserve">The use of agency theory to discuss/debate and explain the unique relationship between affected parties and the business rescue practitioner is to my view incorrect.  </w:t>
            </w:r>
            <w:r w:rsidRPr="00FA1C7F">
              <w:rPr>
                <w:highlight w:val="yellow"/>
              </w:rPr>
              <w:t>Why “agency theory”</w:t>
            </w:r>
            <w:r w:rsidRPr="005D163F">
              <w:t xml:space="preserve">?  This article ventilates the “popular” perception (rightly or wrongly) that currently prevails on business rescue practitioners. </w:t>
            </w:r>
            <w:r w:rsidRPr="00776C45">
              <w:rPr>
                <w:noProof/>
              </w:rPr>
              <w:t>Currently</w:t>
            </w:r>
            <w:r>
              <w:rPr>
                <w:noProof/>
              </w:rPr>
              <w:t>,</w:t>
            </w:r>
            <w:r w:rsidRPr="005D163F">
              <w:t xml:space="preserve"> rescue practitioners are frequently categorized as “puppets”. Either puppets of the </w:t>
            </w:r>
            <w:r w:rsidRPr="00776C45">
              <w:rPr>
                <w:noProof/>
              </w:rPr>
              <w:t>banks</w:t>
            </w:r>
            <w:r w:rsidRPr="005D163F">
              <w:t xml:space="preserve"> or puppets of the shareholders/directors. Th</w:t>
            </w:r>
            <w:r>
              <w:t xml:space="preserve">e main reason for this </w:t>
            </w:r>
            <w:r w:rsidRPr="00776C45">
              <w:rPr>
                <w:noProof/>
              </w:rPr>
              <w:t>generalised</w:t>
            </w:r>
            <w:r w:rsidRPr="005D163F">
              <w:t xml:space="preserve"> perception is that practitioners are </w:t>
            </w:r>
            <w:r w:rsidRPr="00FA1C7F">
              <w:rPr>
                <w:highlight w:val="yellow"/>
              </w:rPr>
              <w:t>not regulated</w:t>
            </w:r>
            <w:r w:rsidRPr="005D163F">
              <w:t xml:space="preserve"> as a qualifying profession, as </w:t>
            </w:r>
            <w:r>
              <w:t xml:space="preserve">is the case with practicing </w:t>
            </w:r>
            <w:r w:rsidRPr="005D163F">
              <w:t>attorneys and chartered accountants. This unregulated rescue environment leads to the appointment and licensing of “sub-standard” practitioners</w:t>
            </w:r>
            <w:r>
              <w:t xml:space="preserve">.  Refer </w:t>
            </w:r>
            <w:r w:rsidRPr="001D51A8">
              <w:t xml:space="preserve">PRETORIUS, M. 2014a. ‘A competency framework for the business rescue practitioner </w:t>
            </w:r>
            <w:r w:rsidRPr="00776C45">
              <w:rPr>
                <w:noProof/>
              </w:rPr>
              <w:t>profession</w:t>
            </w:r>
            <w:r>
              <w:rPr>
                <w:noProof/>
              </w:rPr>
              <w:t>,'</w:t>
            </w:r>
            <w:proofErr w:type="spellStart"/>
            <w:r w:rsidRPr="001D51A8">
              <w:t>Acta</w:t>
            </w:r>
            <w:proofErr w:type="spellEnd"/>
            <w:r w:rsidR="0048092B">
              <w:t xml:space="preserve"> </w:t>
            </w:r>
            <w:r w:rsidRPr="001C40E6">
              <w:rPr>
                <w:noProof/>
              </w:rPr>
              <w:t>Commerci</w:t>
            </w:r>
            <w:r w:rsidRPr="001D51A8">
              <w:t xml:space="preserve"> 12(2), 87–107.</w:t>
            </w:r>
          </w:p>
        </w:tc>
        <w:tc>
          <w:tcPr>
            <w:tcW w:w="851" w:type="dxa"/>
          </w:tcPr>
          <w:p w:rsidR="002000AE" w:rsidRPr="00E533C8" w:rsidRDefault="002000AE" w:rsidP="002000AE">
            <w:pPr>
              <w:rPr>
                <w:rFonts w:ascii="Arial" w:hAnsi="Arial" w:cs="Arial"/>
                <w:sz w:val="24"/>
                <w:szCs w:val="24"/>
              </w:rPr>
            </w:pPr>
          </w:p>
        </w:tc>
        <w:tc>
          <w:tcPr>
            <w:tcW w:w="850" w:type="dxa"/>
          </w:tcPr>
          <w:p w:rsidR="002000AE" w:rsidRPr="00E533C8" w:rsidRDefault="002000AE" w:rsidP="00764583">
            <w:pPr>
              <w:rPr>
                <w:rFonts w:ascii="Arial" w:hAnsi="Arial" w:cs="Arial"/>
                <w:sz w:val="24"/>
                <w:szCs w:val="24"/>
              </w:rPr>
            </w:pPr>
          </w:p>
        </w:tc>
        <w:tc>
          <w:tcPr>
            <w:tcW w:w="851" w:type="dxa"/>
          </w:tcPr>
          <w:p w:rsidR="002000AE" w:rsidRPr="00E533C8" w:rsidRDefault="00FA1C7F" w:rsidP="00764583">
            <w:pPr>
              <w:rPr>
                <w:rFonts w:ascii="Arial" w:hAnsi="Arial" w:cs="Arial"/>
                <w:sz w:val="24"/>
                <w:szCs w:val="24"/>
              </w:rPr>
            </w:pPr>
            <w:r>
              <w:rPr>
                <w:rFonts w:ascii="Arial" w:hAnsi="Arial" w:cs="Arial"/>
                <w:sz w:val="24"/>
                <w:szCs w:val="24"/>
              </w:rPr>
              <w:t>2</w:t>
            </w:r>
          </w:p>
        </w:tc>
        <w:tc>
          <w:tcPr>
            <w:tcW w:w="5684" w:type="dxa"/>
          </w:tcPr>
          <w:p w:rsidR="002000AE" w:rsidRDefault="00FA1C7F" w:rsidP="00764583">
            <w:pPr>
              <w:rPr>
                <w:rFonts w:ascii="Arial" w:hAnsi="Arial" w:cs="Arial"/>
                <w:sz w:val="24"/>
                <w:szCs w:val="24"/>
              </w:rPr>
            </w:pPr>
            <w:r>
              <w:rPr>
                <w:rFonts w:ascii="Arial" w:hAnsi="Arial" w:cs="Arial"/>
                <w:sz w:val="24"/>
                <w:szCs w:val="24"/>
              </w:rPr>
              <w:t>1 Agency is well known theory about relationships and used as the lens to judge only.</w:t>
            </w:r>
            <w:r w:rsidR="00BA70F6">
              <w:rPr>
                <w:rFonts w:ascii="Arial" w:hAnsi="Arial" w:cs="Arial"/>
                <w:sz w:val="24"/>
                <w:szCs w:val="24"/>
              </w:rPr>
              <w:t xml:space="preserve"> The aim is not to be a legal test but a practice manifestation</w:t>
            </w:r>
            <w:r w:rsidR="0084194F">
              <w:rPr>
                <w:rFonts w:ascii="Arial" w:hAnsi="Arial" w:cs="Arial"/>
                <w:sz w:val="24"/>
                <w:szCs w:val="24"/>
              </w:rPr>
              <w:t>. I addressed that as it underlies the referee’s main concern.</w:t>
            </w:r>
          </w:p>
          <w:p w:rsidR="00FA1C7F" w:rsidRDefault="00FA1C7F" w:rsidP="00764583">
            <w:pPr>
              <w:rPr>
                <w:rFonts w:ascii="Arial" w:hAnsi="Arial" w:cs="Arial"/>
                <w:sz w:val="24"/>
                <w:szCs w:val="24"/>
              </w:rPr>
            </w:pPr>
          </w:p>
          <w:p w:rsidR="00FA1C7F" w:rsidRPr="00E533C8" w:rsidRDefault="00FA1C7F" w:rsidP="0084194F">
            <w:pPr>
              <w:rPr>
                <w:rFonts w:ascii="Arial" w:hAnsi="Arial" w:cs="Arial"/>
                <w:sz w:val="24"/>
                <w:szCs w:val="24"/>
              </w:rPr>
            </w:pPr>
            <w:r>
              <w:rPr>
                <w:rFonts w:ascii="Arial" w:hAnsi="Arial" w:cs="Arial"/>
                <w:sz w:val="24"/>
                <w:szCs w:val="24"/>
              </w:rPr>
              <w:t>2 No</w:t>
            </w:r>
            <w:r w:rsidR="0084194F">
              <w:rPr>
                <w:rFonts w:ascii="Arial" w:hAnsi="Arial" w:cs="Arial"/>
                <w:sz w:val="24"/>
                <w:szCs w:val="24"/>
              </w:rPr>
              <w:t>t</w:t>
            </w:r>
            <w:r>
              <w:rPr>
                <w:rFonts w:ascii="Arial" w:hAnsi="Arial" w:cs="Arial"/>
                <w:sz w:val="24"/>
                <w:szCs w:val="24"/>
              </w:rPr>
              <w:t xml:space="preserve"> regulated is correct – therefore this paper to show how relationships manifest as a result thereof.</w:t>
            </w:r>
          </w:p>
        </w:tc>
      </w:tr>
      <w:tr w:rsidR="002000AE" w:rsidRPr="00E533C8" w:rsidTr="001A19D3">
        <w:trPr>
          <w:trHeight w:val="279"/>
        </w:trPr>
        <w:tc>
          <w:tcPr>
            <w:tcW w:w="5098" w:type="dxa"/>
          </w:tcPr>
          <w:p w:rsidR="002000AE" w:rsidRPr="00886A6B" w:rsidRDefault="002000AE" w:rsidP="00886A6B">
            <w:pPr>
              <w:jc w:val="both"/>
            </w:pPr>
            <w:r>
              <w:t xml:space="preserve">The author refers to the CIPC as the “Regulator” for business rescue practitioners, which is </w:t>
            </w:r>
            <w:r w:rsidRPr="00FA1C7F">
              <w:rPr>
                <w:highlight w:val="yellow"/>
              </w:rPr>
              <w:t>incorrect</w:t>
            </w:r>
            <w:r>
              <w:t xml:space="preserve">. The CIPC’s current function is limited to the licensing of rescue practitioners and have no further regulatory function other than to ensure administrative compliance with the Act. Refer to CIPC Business </w:t>
            </w:r>
            <w:r w:rsidRPr="00776C45">
              <w:rPr>
                <w:noProof/>
              </w:rPr>
              <w:t>Re</w:t>
            </w:r>
            <w:r>
              <w:rPr>
                <w:noProof/>
              </w:rPr>
              <w:t>s</w:t>
            </w:r>
            <w:r w:rsidRPr="00776C45">
              <w:rPr>
                <w:noProof/>
              </w:rPr>
              <w:t>cue</w:t>
            </w:r>
            <w:r>
              <w:t xml:space="preserve"> Circular 3 and the requirements attached to the CIPC license certificate.  There is a </w:t>
            </w:r>
            <w:r w:rsidRPr="00FA1C7F">
              <w:rPr>
                <w:highlight w:val="yellow"/>
              </w:rPr>
              <w:t xml:space="preserve">dire need to </w:t>
            </w:r>
            <w:r w:rsidRPr="00FA1C7F">
              <w:rPr>
                <w:highlight w:val="yellow"/>
              </w:rPr>
              <w:lastRenderedPageBreak/>
              <w:t>establish a proper regulatory</w:t>
            </w:r>
            <w:r>
              <w:t xml:space="preserve"> body for business rescue practitioners to ensure discipline, required skills set and education, refer to the article by Bradstreet;  “ The Leak in the Chapter 6 Lifeboat: Inadequate Regulation of Business Rescue Practitioners May Adversely Affect Lenders’ Willingness and the Growth of the Economy.</w:t>
            </w:r>
            <w:r w:rsidRPr="009E0F89">
              <w:t xml:space="preserve"> (2010) 22 SA </w:t>
            </w:r>
            <w:proofErr w:type="spellStart"/>
            <w:r w:rsidRPr="009E0F89">
              <w:t>Merc</w:t>
            </w:r>
            <w:proofErr w:type="spellEnd"/>
            <w:r w:rsidRPr="009E0F89">
              <w:t xml:space="preserve"> </w:t>
            </w:r>
            <w:proofErr w:type="spellStart"/>
            <w:r w:rsidRPr="009E0F89">
              <w:t>LJ</w:t>
            </w:r>
            <w:r>
              <w:t>pg</w:t>
            </w:r>
            <w:proofErr w:type="spellEnd"/>
            <w:r>
              <w:t xml:space="preserve"> 195-213. </w:t>
            </w:r>
          </w:p>
        </w:tc>
        <w:tc>
          <w:tcPr>
            <w:tcW w:w="851" w:type="dxa"/>
          </w:tcPr>
          <w:p w:rsidR="002000AE" w:rsidRPr="00E533C8" w:rsidRDefault="002000AE" w:rsidP="002000AE">
            <w:pPr>
              <w:rPr>
                <w:rFonts w:ascii="Arial" w:hAnsi="Arial" w:cs="Arial"/>
                <w:sz w:val="24"/>
                <w:szCs w:val="24"/>
              </w:rPr>
            </w:pPr>
          </w:p>
        </w:tc>
        <w:tc>
          <w:tcPr>
            <w:tcW w:w="850" w:type="dxa"/>
          </w:tcPr>
          <w:p w:rsidR="002000AE" w:rsidRPr="00E533C8" w:rsidRDefault="002000AE" w:rsidP="00764583">
            <w:pPr>
              <w:rPr>
                <w:rFonts w:ascii="Arial" w:hAnsi="Arial" w:cs="Arial"/>
                <w:sz w:val="24"/>
                <w:szCs w:val="24"/>
              </w:rPr>
            </w:pPr>
          </w:p>
        </w:tc>
        <w:tc>
          <w:tcPr>
            <w:tcW w:w="851" w:type="dxa"/>
          </w:tcPr>
          <w:p w:rsidR="002000AE" w:rsidRPr="00E533C8" w:rsidRDefault="00FA1C7F" w:rsidP="00764583">
            <w:pPr>
              <w:rPr>
                <w:rFonts w:ascii="Arial" w:hAnsi="Arial" w:cs="Arial"/>
                <w:sz w:val="24"/>
                <w:szCs w:val="24"/>
              </w:rPr>
            </w:pPr>
            <w:r>
              <w:rPr>
                <w:rFonts w:ascii="Arial" w:hAnsi="Arial" w:cs="Arial"/>
                <w:sz w:val="24"/>
                <w:szCs w:val="24"/>
              </w:rPr>
              <w:t>2</w:t>
            </w:r>
          </w:p>
        </w:tc>
        <w:tc>
          <w:tcPr>
            <w:tcW w:w="5684" w:type="dxa"/>
          </w:tcPr>
          <w:p w:rsidR="002000AE" w:rsidRDefault="00FA1C7F" w:rsidP="00FA1C7F">
            <w:pPr>
              <w:rPr>
                <w:rFonts w:ascii="Arial" w:hAnsi="Arial" w:cs="Arial"/>
                <w:sz w:val="24"/>
                <w:szCs w:val="24"/>
              </w:rPr>
            </w:pPr>
            <w:r>
              <w:rPr>
                <w:rFonts w:ascii="Arial" w:hAnsi="Arial" w:cs="Arial"/>
                <w:sz w:val="24"/>
                <w:szCs w:val="24"/>
              </w:rPr>
              <w:t>1 While the CIPC does not fulfil its functions properly, they are still the Regulator and is now in a process to accredit BRPs. Matter of opinion.</w:t>
            </w:r>
          </w:p>
          <w:p w:rsidR="00FA1C7F" w:rsidRDefault="00FA1C7F" w:rsidP="00FA1C7F">
            <w:pPr>
              <w:rPr>
                <w:rFonts w:ascii="Arial" w:hAnsi="Arial" w:cs="Arial"/>
                <w:sz w:val="24"/>
                <w:szCs w:val="24"/>
              </w:rPr>
            </w:pPr>
          </w:p>
          <w:p w:rsidR="00FA1C7F" w:rsidRDefault="00FA1C7F" w:rsidP="00FA1C7F">
            <w:pPr>
              <w:rPr>
                <w:rFonts w:ascii="Arial" w:hAnsi="Arial" w:cs="Arial"/>
                <w:sz w:val="24"/>
                <w:szCs w:val="24"/>
              </w:rPr>
            </w:pPr>
          </w:p>
          <w:p w:rsidR="00FA1C7F" w:rsidRPr="00E533C8" w:rsidRDefault="00FA1C7F" w:rsidP="00FA1C7F">
            <w:pPr>
              <w:rPr>
                <w:rFonts w:ascii="Arial" w:hAnsi="Arial" w:cs="Arial"/>
                <w:sz w:val="24"/>
                <w:szCs w:val="24"/>
              </w:rPr>
            </w:pPr>
            <w:r>
              <w:rPr>
                <w:rFonts w:ascii="Arial" w:hAnsi="Arial" w:cs="Arial"/>
                <w:sz w:val="24"/>
                <w:szCs w:val="24"/>
              </w:rPr>
              <w:t xml:space="preserve">2 This is part of the motivation for this study. What is describes is a result of the “non-regulation” </w:t>
            </w:r>
            <w:r>
              <w:rPr>
                <w:rFonts w:ascii="Arial" w:hAnsi="Arial" w:cs="Arial"/>
                <w:sz w:val="24"/>
                <w:szCs w:val="24"/>
              </w:rPr>
              <w:lastRenderedPageBreak/>
              <w:t>effect.</w:t>
            </w:r>
          </w:p>
        </w:tc>
      </w:tr>
      <w:tr w:rsidR="002000AE" w:rsidRPr="00E533C8" w:rsidTr="001A19D3">
        <w:trPr>
          <w:trHeight w:val="248"/>
        </w:trPr>
        <w:tc>
          <w:tcPr>
            <w:tcW w:w="5098" w:type="dxa"/>
          </w:tcPr>
          <w:p w:rsidR="00886A6B" w:rsidRDefault="00886A6B" w:rsidP="00886A6B">
            <w:pPr>
              <w:jc w:val="both"/>
            </w:pPr>
            <w:r>
              <w:lastRenderedPageBreak/>
              <w:t xml:space="preserve">Quote from the </w:t>
            </w:r>
            <w:r w:rsidRPr="00776C45">
              <w:rPr>
                <w:noProof/>
              </w:rPr>
              <w:t>author</w:t>
            </w:r>
            <w:r>
              <w:rPr>
                <w:noProof/>
              </w:rPr>
              <w:t>'</w:t>
            </w:r>
            <w:r w:rsidRPr="00776C45">
              <w:rPr>
                <w:noProof/>
              </w:rPr>
              <w:t>s</w:t>
            </w:r>
            <w:r w:rsidR="0048092B">
              <w:rPr>
                <w:noProof/>
              </w:rPr>
              <w:t xml:space="preserve"> </w:t>
            </w:r>
            <w:r>
              <w:t xml:space="preserve">text </w:t>
            </w:r>
            <w:r w:rsidRPr="005D163F">
              <w:rPr>
                <w:i/>
              </w:rPr>
              <w:t>“….Agency theory attempts to address two main problems: the conflicting goals of the principals and agents and the difficulty for the principal to verify or authenticate the agent’s actions (</w:t>
            </w:r>
            <w:proofErr w:type="spellStart"/>
            <w:r w:rsidRPr="005D163F">
              <w:rPr>
                <w:i/>
              </w:rPr>
              <w:t>Eisenhardt</w:t>
            </w:r>
            <w:proofErr w:type="spellEnd"/>
            <w:r w:rsidRPr="005D163F">
              <w:rPr>
                <w:i/>
              </w:rPr>
              <w:t xml:space="preserve"> 1989:58)…”</w:t>
            </w:r>
            <w:r>
              <w:t xml:space="preserve">   the business rescue practitioner “goals” are dictated by the Companies Act, Act 72 of 2008 (“the Act”) and the agency principal, or incumbent principal’s goals, as explained in this article, </w:t>
            </w:r>
            <w:r w:rsidRPr="00457D76">
              <w:rPr>
                <w:highlight w:val="yellow"/>
              </w:rPr>
              <w:t>are irrelevant</w:t>
            </w:r>
            <w:r>
              <w:t xml:space="preserve">. The author goes so far as to suggest that Banks are “incumbent principals” in the business rescue process. The United </w:t>
            </w:r>
            <w:proofErr w:type="spellStart"/>
            <w:r>
              <w:t>States’Bankruptcy</w:t>
            </w:r>
            <w:proofErr w:type="spellEnd"/>
            <w:r>
              <w:t xml:space="preserve"> Code Chapter 11, which have some similarities to the South African Chapter 6 is frequently referred to in South African literature. Unfortunately, due to the lack of South African literature on the subject of business rescue, authors use</w:t>
            </w:r>
            <w:r w:rsidR="0048092B">
              <w:t xml:space="preserve"> </w:t>
            </w:r>
            <w:r>
              <w:t xml:space="preserve">USA based articles which have strong reference to Chapter11.  Under Chapter 11 however, the creditors plays a bigger role in the </w:t>
            </w:r>
            <w:r w:rsidRPr="00776C45">
              <w:rPr>
                <w:noProof/>
              </w:rPr>
              <w:t>post</w:t>
            </w:r>
            <w:r>
              <w:rPr>
                <w:noProof/>
              </w:rPr>
              <w:t>-</w:t>
            </w:r>
            <w:r w:rsidRPr="00776C45">
              <w:rPr>
                <w:noProof/>
              </w:rPr>
              <w:t>filing</w:t>
            </w:r>
            <w:r>
              <w:t xml:space="preserve"> administration of the company which is classified as “Property in Possession”. This PIP dictates that the debtor retains “ownership” of the business, thus a potential for creditors to dictate. USA literature thus express the opinion that creditors are “principals” in an agency agreement that follows petitioning of Chapter 11.  Refer to </w:t>
            </w:r>
            <w:proofErr w:type="spellStart"/>
            <w:r w:rsidRPr="00C01CAA">
              <w:t>Barondes</w:t>
            </w:r>
            <w:proofErr w:type="spellEnd"/>
            <w:r w:rsidRPr="00C01CAA">
              <w:t xml:space="preserve">, R., Fairfax, L., </w:t>
            </w:r>
            <w:proofErr w:type="spellStart"/>
            <w:r w:rsidRPr="00C01CAA">
              <w:t>Hamermesh</w:t>
            </w:r>
            <w:proofErr w:type="spellEnd"/>
            <w:r w:rsidRPr="00C01CAA">
              <w:t>, L., &amp;Lawless, R. (2007). Twilight in the Zone of Insolvency: Fiduciary Duty and Creditors of Troubled Companies-History &amp; Background. Journal of Business and Technology Law, 1(2), 229–255.</w:t>
            </w:r>
          </w:p>
          <w:p w:rsidR="00886A6B" w:rsidRPr="005D163F" w:rsidRDefault="00886A6B" w:rsidP="00886A6B">
            <w:pPr>
              <w:jc w:val="both"/>
              <w:rPr>
                <w:b/>
              </w:rPr>
            </w:pPr>
          </w:p>
          <w:p w:rsidR="002000AE" w:rsidRPr="00886A6B" w:rsidRDefault="00886A6B" w:rsidP="00886A6B">
            <w:pPr>
              <w:jc w:val="both"/>
              <w:rPr>
                <w:i/>
              </w:rPr>
            </w:pPr>
            <w:r>
              <w:t xml:space="preserve">I strongly </w:t>
            </w:r>
            <w:r w:rsidRPr="007A2DBD">
              <w:rPr>
                <w:highlight w:val="yellow"/>
              </w:rPr>
              <w:t>disagree</w:t>
            </w:r>
            <w:r>
              <w:t xml:space="preserve"> with the author’s viewpoint that agency theory principals applies in the South African context of</w:t>
            </w:r>
            <w:r w:rsidR="0048092B">
              <w:t xml:space="preserve"> </w:t>
            </w:r>
            <w:r>
              <w:t xml:space="preserve">business rescue process (Chapter 6). There is </w:t>
            </w:r>
            <w:r w:rsidRPr="007A2DBD">
              <w:rPr>
                <w:highlight w:val="yellow"/>
              </w:rPr>
              <w:t>no “contract”</w:t>
            </w:r>
            <w:r>
              <w:t xml:space="preserve"> between the directors (principals), the banks (incumbent principals) and the business rescue practitioner (agent).  Applying agency theory in this perspective, which to my view is the mistaken belief of the actual role that a practitioner play in the rescue of a company, is not correct. The </w:t>
            </w:r>
            <w:r w:rsidRPr="007A2DBD">
              <w:rPr>
                <w:highlight w:val="yellow"/>
              </w:rPr>
              <w:t>Act is quite clear on requirements and regulations of the business rescue practitioner</w:t>
            </w:r>
            <w:r>
              <w:t xml:space="preserve">. The most important sections of the Act are firstly Section 7 (k) which reads as follow </w:t>
            </w:r>
            <w:r w:rsidRPr="004838E2">
              <w:rPr>
                <w:i/>
              </w:rPr>
              <w:t xml:space="preserve">“… provide for the efficient rescue and recovery of financially distressed companies, in a manner that </w:t>
            </w:r>
            <w:r w:rsidRPr="00180584">
              <w:rPr>
                <w:b/>
                <w:i/>
              </w:rPr>
              <w:t>balances the rights and interests of all relevant stakeholders</w:t>
            </w:r>
            <w:proofErr w:type="gramStart"/>
            <w:r w:rsidRPr="00180584">
              <w:rPr>
                <w:b/>
                <w:i/>
              </w:rPr>
              <w:t>;…</w:t>
            </w:r>
            <w:proofErr w:type="gramEnd"/>
            <w:r w:rsidRPr="004838E2">
              <w:rPr>
                <w:i/>
              </w:rPr>
              <w:t>”</w:t>
            </w:r>
          </w:p>
        </w:tc>
        <w:tc>
          <w:tcPr>
            <w:tcW w:w="851" w:type="dxa"/>
          </w:tcPr>
          <w:p w:rsidR="002000AE" w:rsidRPr="00E533C8" w:rsidRDefault="002000AE" w:rsidP="00764583">
            <w:pPr>
              <w:rPr>
                <w:rFonts w:ascii="Arial" w:hAnsi="Arial" w:cs="Arial"/>
                <w:sz w:val="24"/>
                <w:szCs w:val="24"/>
              </w:rPr>
            </w:pPr>
          </w:p>
        </w:tc>
        <w:tc>
          <w:tcPr>
            <w:tcW w:w="850" w:type="dxa"/>
          </w:tcPr>
          <w:p w:rsidR="002000AE" w:rsidRPr="00E533C8" w:rsidRDefault="002000AE" w:rsidP="00764583">
            <w:pPr>
              <w:rPr>
                <w:rFonts w:ascii="Arial" w:hAnsi="Arial" w:cs="Arial"/>
                <w:sz w:val="24"/>
                <w:szCs w:val="24"/>
              </w:rPr>
            </w:pPr>
          </w:p>
        </w:tc>
        <w:tc>
          <w:tcPr>
            <w:tcW w:w="851" w:type="dxa"/>
          </w:tcPr>
          <w:p w:rsidR="002000AE" w:rsidRPr="00E533C8" w:rsidRDefault="00FA1C7F" w:rsidP="00764583">
            <w:pPr>
              <w:rPr>
                <w:rFonts w:ascii="Arial" w:hAnsi="Arial" w:cs="Arial"/>
                <w:sz w:val="24"/>
                <w:szCs w:val="24"/>
              </w:rPr>
            </w:pPr>
            <w:r>
              <w:rPr>
                <w:rFonts w:ascii="Arial" w:hAnsi="Arial" w:cs="Arial"/>
                <w:sz w:val="24"/>
                <w:szCs w:val="24"/>
              </w:rPr>
              <w:t>2</w:t>
            </w:r>
          </w:p>
        </w:tc>
        <w:tc>
          <w:tcPr>
            <w:tcW w:w="5684" w:type="dxa"/>
          </w:tcPr>
          <w:p w:rsidR="002000AE" w:rsidRDefault="00BA70F6" w:rsidP="00764583">
            <w:pPr>
              <w:rPr>
                <w:rFonts w:ascii="Arial" w:hAnsi="Arial" w:cs="Arial"/>
                <w:sz w:val="24"/>
                <w:szCs w:val="24"/>
              </w:rPr>
            </w:pPr>
            <w:r>
              <w:rPr>
                <w:rFonts w:ascii="Arial" w:hAnsi="Arial" w:cs="Arial"/>
                <w:sz w:val="24"/>
                <w:szCs w:val="24"/>
              </w:rPr>
              <w:t>1 While this may be true from a legal perspective – what happens in practice is different and therefore supports the aim and contribution of the research.</w:t>
            </w:r>
          </w:p>
          <w:p w:rsidR="00BA70F6" w:rsidRDefault="00BA70F6" w:rsidP="00764583">
            <w:pPr>
              <w:rPr>
                <w:rFonts w:ascii="Arial" w:hAnsi="Arial" w:cs="Arial"/>
                <w:sz w:val="24"/>
                <w:szCs w:val="24"/>
              </w:rPr>
            </w:pPr>
          </w:p>
          <w:p w:rsidR="001A19D3" w:rsidRDefault="001A19D3" w:rsidP="001A19D3">
            <w:pPr>
              <w:rPr>
                <w:rFonts w:ascii="Arial" w:hAnsi="Arial" w:cs="Arial"/>
                <w:sz w:val="24"/>
                <w:szCs w:val="24"/>
              </w:rPr>
            </w:pPr>
            <w:r>
              <w:rPr>
                <w:rFonts w:ascii="Arial" w:hAnsi="Arial" w:cs="Arial"/>
                <w:sz w:val="24"/>
                <w:szCs w:val="24"/>
              </w:rPr>
              <w:t>2 This di</w:t>
            </w:r>
            <w:r w:rsidR="00BA70F6">
              <w:rPr>
                <w:rFonts w:ascii="Arial" w:hAnsi="Arial" w:cs="Arial"/>
                <w:sz w:val="24"/>
                <w:szCs w:val="24"/>
              </w:rPr>
              <w:t>sagreement</w:t>
            </w:r>
            <w:r>
              <w:rPr>
                <w:rFonts w:ascii="Arial" w:hAnsi="Arial" w:cs="Arial"/>
                <w:sz w:val="24"/>
                <w:szCs w:val="24"/>
              </w:rPr>
              <w:t xml:space="preserve"> by the reviewer actually constitutes agreement with the paper contribution. </w:t>
            </w:r>
          </w:p>
          <w:p w:rsidR="001A19D3" w:rsidRDefault="001A19D3" w:rsidP="001A19D3">
            <w:pPr>
              <w:rPr>
                <w:rFonts w:ascii="Arial" w:hAnsi="Arial" w:cs="Arial"/>
                <w:sz w:val="24"/>
                <w:szCs w:val="24"/>
              </w:rPr>
            </w:pPr>
          </w:p>
          <w:p w:rsidR="00BA70F6" w:rsidRDefault="001A19D3" w:rsidP="001A19D3">
            <w:pPr>
              <w:rPr>
                <w:rFonts w:ascii="Arial" w:hAnsi="Arial" w:cs="Arial"/>
                <w:sz w:val="24"/>
                <w:szCs w:val="24"/>
              </w:rPr>
            </w:pPr>
            <w:r>
              <w:rPr>
                <w:rFonts w:ascii="Arial" w:hAnsi="Arial" w:cs="Arial"/>
                <w:sz w:val="24"/>
                <w:szCs w:val="24"/>
              </w:rPr>
              <w:t>3 Legally, there is no contract but in practice, there are relationships that manifest between role players and which impact how business rescue is perceived.</w:t>
            </w:r>
            <w:r w:rsidR="00BA70F6">
              <w:rPr>
                <w:rFonts w:ascii="Arial" w:hAnsi="Arial" w:cs="Arial"/>
                <w:sz w:val="24"/>
                <w:szCs w:val="24"/>
              </w:rPr>
              <w:t xml:space="preserve"> </w:t>
            </w:r>
            <w:r w:rsidR="0084194F">
              <w:rPr>
                <w:rFonts w:ascii="Arial" w:hAnsi="Arial" w:cs="Arial"/>
                <w:sz w:val="24"/>
                <w:szCs w:val="24"/>
              </w:rPr>
              <w:t>These are discussed through the theoretical lens of agency theory.</w:t>
            </w:r>
          </w:p>
          <w:p w:rsidR="001A19D3" w:rsidRDefault="001A19D3" w:rsidP="001A19D3">
            <w:pPr>
              <w:rPr>
                <w:rFonts w:ascii="Arial" w:hAnsi="Arial" w:cs="Arial"/>
                <w:sz w:val="24"/>
                <w:szCs w:val="24"/>
              </w:rPr>
            </w:pPr>
          </w:p>
          <w:p w:rsidR="001A19D3" w:rsidRPr="00E533C8" w:rsidRDefault="001A19D3" w:rsidP="001A19D3">
            <w:pPr>
              <w:rPr>
                <w:rFonts w:ascii="Arial" w:hAnsi="Arial" w:cs="Arial"/>
                <w:sz w:val="24"/>
                <w:szCs w:val="24"/>
              </w:rPr>
            </w:pPr>
            <w:r>
              <w:rPr>
                <w:rFonts w:ascii="Arial" w:hAnsi="Arial" w:cs="Arial"/>
                <w:sz w:val="24"/>
                <w:szCs w:val="24"/>
              </w:rPr>
              <w:t>4 Despite the act</w:t>
            </w:r>
            <w:r w:rsidR="0084194F">
              <w:rPr>
                <w:rFonts w:ascii="Arial" w:hAnsi="Arial" w:cs="Arial"/>
                <w:sz w:val="24"/>
                <w:szCs w:val="24"/>
              </w:rPr>
              <w:t>’</w:t>
            </w:r>
            <w:r>
              <w:rPr>
                <w:rFonts w:ascii="Arial" w:hAnsi="Arial" w:cs="Arial"/>
                <w:sz w:val="24"/>
                <w:szCs w:val="24"/>
              </w:rPr>
              <w:t>s clarity on what the BRP must/must not do, this is not how it happens in practice, hence the conflict between parties.</w:t>
            </w:r>
          </w:p>
        </w:tc>
      </w:tr>
      <w:tr w:rsidR="002000AE" w:rsidRPr="00E533C8" w:rsidTr="001A19D3">
        <w:trPr>
          <w:trHeight w:val="279"/>
        </w:trPr>
        <w:tc>
          <w:tcPr>
            <w:tcW w:w="5098" w:type="dxa"/>
          </w:tcPr>
          <w:p w:rsidR="00886A6B" w:rsidRDefault="00886A6B" w:rsidP="00886A6B">
            <w:pPr>
              <w:jc w:val="both"/>
            </w:pPr>
            <w:r>
              <w:t xml:space="preserve">Quote from the </w:t>
            </w:r>
            <w:r w:rsidRPr="00776C45">
              <w:rPr>
                <w:noProof/>
              </w:rPr>
              <w:t>author</w:t>
            </w:r>
            <w:r>
              <w:rPr>
                <w:noProof/>
              </w:rPr>
              <w:t>'</w:t>
            </w:r>
            <w:r w:rsidRPr="00776C45">
              <w:rPr>
                <w:noProof/>
              </w:rPr>
              <w:t>s</w:t>
            </w:r>
            <w:r w:rsidR="0048092B">
              <w:rPr>
                <w:noProof/>
              </w:rPr>
              <w:t xml:space="preserve"> </w:t>
            </w:r>
            <w:r>
              <w:t xml:space="preserve">text </w:t>
            </w:r>
            <w:r w:rsidRPr="005D163F">
              <w:rPr>
                <w:i/>
              </w:rPr>
              <w:t>“….Agency theory attempts to address two main problems: the conflicting goals of the principals and agents and the difficulty for the principal to verify or authenticate the agent’s actions (</w:t>
            </w:r>
            <w:proofErr w:type="spellStart"/>
            <w:r w:rsidRPr="005D163F">
              <w:rPr>
                <w:i/>
              </w:rPr>
              <w:t>Eisenhardt</w:t>
            </w:r>
            <w:proofErr w:type="spellEnd"/>
            <w:r w:rsidRPr="005D163F">
              <w:rPr>
                <w:i/>
              </w:rPr>
              <w:t xml:space="preserve"> 1989:58)…”</w:t>
            </w:r>
            <w:r>
              <w:t xml:space="preserve">   the business rescue practitioner “</w:t>
            </w:r>
            <w:r w:rsidRPr="001A19D3">
              <w:rPr>
                <w:highlight w:val="yellow"/>
              </w:rPr>
              <w:t>goals” are dictated by the Companies Act, Act 72 of 2008</w:t>
            </w:r>
            <w:r>
              <w:t xml:space="preserve"> (“the Act”) and the agency principal, or incumbent principal’s goals, as explained in this article, are irrelevant. The author goes so far as to suggest that Banks are “incumbent principals” in the business rescue process. The United States’</w:t>
            </w:r>
            <w:r w:rsidR="0048092B">
              <w:t xml:space="preserve"> </w:t>
            </w:r>
            <w:r>
              <w:t>Bankruptcy Code Chapter 11, which have some similarities to the South African Chapter 6 is frequently referred to in South African literature. Unfortunately, due to the lack of South African literature on the subject of business rescue, authors use</w:t>
            </w:r>
            <w:r w:rsidR="0048092B">
              <w:t xml:space="preserve"> </w:t>
            </w:r>
            <w:r>
              <w:t xml:space="preserve">USA based articles which have strong reference to Chapter11.  Under Chapter 11 however, the creditors plays a bigger role in the </w:t>
            </w:r>
            <w:r w:rsidRPr="00776C45">
              <w:rPr>
                <w:noProof/>
              </w:rPr>
              <w:t>post</w:t>
            </w:r>
            <w:r>
              <w:rPr>
                <w:noProof/>
              </w:rPr>
              <w:t>-</w:t>
            </w:r>
            <w:r w:rsidRPr="00776C45">
              <w:rPr>
                <w:noProof/>
              </w:rPr>
              <w:t>filing</w:t>
            </w:r>
            <w:r>
              <w:t xml:space="preserve"> administration of the company which is classified as “Property in Possession”. This PIP dictates that the debtor retains “ownership” of the business, thus a potential for creditors to dictate. USA literature thus express the opinion that creditors are “principals” in an agency agreement that follows petitioning of Chapter 11.  Refer to </w:t>
            </w:r>
            <w:proofErr w:type="spellStart"/>
            <w:r w:rsidRPr="00C01CAA">
              <w:t>Barondes</w:t>
            </w:r>
            <w:proofErr w:type="spellEnd"/>
            <w:r w:rsidRPr="00C01CAA">
              <w:t xml:space="preserve">, R., Fairfax, L., </w:t>
            </w:r>
            <w:proofErr w:type="spellStart"/>
            <w:r w:rsidRPr="00C01CAA">
              <w:t>Hamermesh</w:t>
            </w:r>
            <w:proofErr w:type="spellEnd"/>
            <w:r w:rsidRPr="00C01CAA">
              <w:t xml:space="preserve">, L., &amp;Lawless, R. (2007). Twilight in the Zone of Insolvency: </w:t>
            </w:r>
            <w:r w:rsidRPr="001A19D3">
              <w:rPr>
                <w:highlight w:val="yellow"/>
              </w:rPr>
              <w:t>Fiduciary Duty</w:t>
            </w:r>
            <w:r w:rsidRPr="00C01CAA">
              <w:t xml:space="preserve"> and Creditors of Troubled Companies-History &amp; Background. Journal of Business and Technology Law, 1(2), 229–255.</w:t>
            </w:r>
          </w:p>
          <w:p w:rsidR="00886A6B" w:rsidRPr="005D163F" w:rsidRDefault="00886A6B" w:rsidP="00886A6B">
            <w:pPr>
              <w:jc w:val="both"/>
              <w:rPr>
                <w:b/>
              </w:rPr>
            </w:pPr>
          </w:p>
          <w:p w:rsidR="00886A6B" w:rsidRDefault="00886A6B" w:rsidP="00886A6B">
            <w:pPr>
              <w:jc w:val="both"/>
              <w:rPr>
                <w:i/>
              </w:rPr>
            </w:pPr>
            <w:r>
              <w:t>I strongly disagree with the author’s viewpoint that agency theory principals applies in the South African context of</w:t>
            </w:r>
            <w:r w:rsidR="0048092B">
              <w:t xml:space="preserve"> </w:t>
            </w:r>
            <w:r>
              <w:t xml:space="preserve">business rescue process (Chapter 6). There is no “contract” between the directors (principals), the banks (incumbent principals) and the business rescue practitioner (agent).  Applying agency theory in this perspective, which to my view is the mistaken belief of the actual role that a practitioner play in the rescue of a company, is not correct. The Act is quite clear on requirements and regulations of the business rescue practitioner. </w:t>
            </w:r>
            <w:r w:rsidRPr="005449D1">
              <w:rPr>
                <w:highlight w:val="yellow"/>
              </w:rPr>
              <w:t xml:space="preserve">The most important sections of the Act are firstly Section 7 (k) which reads as follow </w:t>
            </w:r>
            <w:r w:rsidRPr="005449D1">
              <w:rPr>
                <w:i/>
                <w:highlight w:val="yellow"/>
              </w:rPr>
              <w:t xml:space="preserve">“… provide for the efficient rescue and recovery of financially distressed companies, in a manner that </w:t>
            </w:r>
            <w:r w:rsidRPr="005449D1">
              <w:rPr>
                <w:b/>
                <w:i/>
                <w:highlight w:val="yellow"/>
              </w:rPr>
              <w:t>balances the rights and interests of all relevant stakeholders</w:t>
            </w:r>
            <w:proofErr w:type="gramStart"/>
            <w:r w:rsidRPr="005449D1">
              <w:rPr>
                <w:b/>
                <w:i/>
                <w:highlight w:val="yellow"/>
              </w:rPr>
              <w:t>;…</w:t>
            </w:r>
            <w:proofErr w:type="gramEnd"/>
            <w:r w:rsidRPr="005449D1">
              <w:rPr>
                <w:i/>
                <w:highlight w:val="yellow"/>
              </w:rPr>
              <w:t>”</w:t>
            </w:r>
          </w:p>
          <w:p w:rsidR="002000AE" w:rsidRPr="00886A6B" w:rsidRDefault="00886A6B" w:rsidP="00886A6B">
            <w:pPr>
              <w:jc w:val="both"/>
            </w:pPr>
            <w:r>
              <w:t xml:space="preserve">These disqualifying criteria in the Act, which the author correctly argue can only be enforced by the Courts, prevails where the CIPC licensed practitioners that do not meet the specified qualification criteria as per the Act.  The CIPC will not, or will be reluctant to issue a license to a practitioner that has been removed by the Court. As such another abuse of the Act manifest itself where the practitioner, under these circumstances, “resign” to </w:t>
            </w:r>
            <w:r w:rsidRPr="00776C45">
              <w:rPr>
                <w:noProof/>
              </w:rPr>
              <w:t>sa</w:t>
            </w:r>
            <w:r>
              <w:rPr>
                <w:noProof/>
              </w:rPr>
              <w:t>v</w:t>
            </w:r>
            <w:r w:rsidRPr="00776C45">
              <w:rPr>
                <w:noProof/>
              </w:rPr>
              <w:t>e</w:t>
            </w:r>
            <w:r>
              <w:t xml:space="preserve"> face (and ensure re-appointment in future – thus to continue in the same flawed way). Whether a practitioner can merely resign when he/she feels the heat, is still open to debate. </w:t>
            </w:r>
          </w:p>
        </w:tc>
        <w:tc>
          <w:tcPr>
            <w:tcW w:w="851" w:type="dxa"/>
          </w:tcPr>
          <w:p w:rsidR="002000AE" w:rsidRPr="00E533C8" w:rsidRDefault="002000AE" w:rsidP="00764583">
            <w:pPr>
              <w:rPr>
                <w:rFonts w:ascii="Arial" w:hAnsi="Arial" w:cs="Arial"/>
                <w:sz w:val="24"/>
                <w:szCs w:val="24"/>
              </w:rPr>
            </w:pPr>
          </w:p>
        </w:tc>
        <w:tc>
          <w:tcPr>
            <w:tcW w:w="850" w:type="dxa"/>
          </w:tcPr>
          <w:p w:rsidR="002000AE" w:rsidRPr="00E533C8" w:rsidRDefault="002000AE" w:rsidP="00764583">
            <w:pPr>
              <w:rPr>
                <w:rFonts w:ascii="Arial" w:hAnsi="Arial" w:cs="Arial"/>
                <w:sz w:val="24"/>
                <w:szCs w:val="24"/>
              </w:rPr>
            </w:pPr>
          </w:p>
        </w:tc>
        <w:tc>
          <w:tcPr>
            <w:tcW w:w="851" w:type="dxa"/>
          </w:tcPr>
          <w:p w:rsidR="002000AE" w:rsidRPr="00E533C8" w:rsidRDefault="001A19D3" w:rsidP="00764583">
            <w:pPr>
              <w:rPr>
                <w:rFonts w:ascii="Arial" w:hAnsi="Arial" w:cs="Arial"/>
                <w:sz w:val="24"/>
                <w:szCs w:val="24"/>
              </w:rPr>
            </w:pPr>
            <w:r>
              <w:rPr>
                <w:rFonts w:ascii="Arial" w:hAnsi="Arial" w:cs="Arial"/>
                <w:sz w:val="24"/>
                <w:szCs w:val="24"/>
              </w:rPr>
              <w:t>2</w:t>
            </w:r>
          </w:p>
        </w:tc>
        <w:tc>
          <w:tcPr>
            <w:tcW w:w="5684" w:type="dxa"/>
          </w:tcPr>
          <w:p w:rsidR="002000AE" w:rsidRDefault="001A19D3" w:rsidP="00764583">
            <w:pPr>
              <w:rPr>
                <w:rFonts w:ascii="Arial" w:hAnsi="Arial" w:cs="Arial"/>
                <w:sz w:val="24"/>
                <w:szCs w:val="24"/>
              </w:rPr>
            </w:pPr>
            <w:r>
              <w:rPr>
                <w:rFonts w:ascii="Arial" w:hAnsi="Arial" w:cs="Arial"/>
                <w:sz w:val="24"/>
                <w:szCs w:val="24"/>
              </w:rPr>
              <w:t>1 Legally true but practice shows different</w:t>
            </w:r>
          </w:p>
          <w:p w:rsidR="001A19D3" w:rsidRDefault="001A19D3" w:rsidP="00764583">
            <w:pPr>
              <w:rPr>
                <w:rFonts w:ascii="Arial" w:hAnsi="Arial" w:cs="Arial"/>
                <w:sz w:val="24"/>
                <w:szCs w:val="24"/>
              </w:rPr>
            </w:pPr>
          </w:p>
          <w:p w:rsidR="001A19D3" w:rsidRDefault="001A19D3" w:rsidP="00764583">
            <w:pPr>
              <w:rPr>
                <w:rFonts w:ascii="Arial" w:hAnsi="Arial" w:cs="Arial"/>
                <w:sz w:val="24"/>
                <w:szCs w:val="24"/>
              </w:rPr>
            </w:pPr>
            <w:r>
              <w:rPr>
                <w:rFonts w:ascii="Arial" w:hAnsi="Arial" w:cs="Arial"/>
                <w:sz w:val="24"/>
                <w:szCs w:val="24"/>
              </w:rPr>
              <w:t xml:space="preserve">2 </w:t>
            </w:r>
            <w:r w:rsidR="005449D1">
              <w:rPr>
                <w:rFonts w:ascii="Arial" w:hAnsi="Arial" w:cs="Arial"/>
                <w:sz w:val="24"/>
                <w:szCs w:val="24"/>
              </w:rPr>
              <w:t>Fiduciary</w:t>
            </w:r>
            <w:r>
              <w:rPr>
                <w:rFonts w:ascii="Arial" w:hAnsi="Arial" w:cs="Arial"/>
                <w:sz w:val="24"/>
                <w:szCs w:val="24"/>
              </w:rPr>
              <w:t xml:space="preserve"> duty is the legal approach</w:t>
            </w:r>
            <w:r w:rsidR="005449D1">
              <w:rPr>
                <w:rFonts w:ascii="Arial" w:hAnsi="Arial" w:cs="Arial"/>
                <w:sz w:val="24"/>
                <w:szCs w:val="24"/>
              </w:rPr>
              <w:t>. The interest of this article is the practice.</w:t>
            </w:r>
            <w:r w:rsidR="0001397E">
              <w:rPr>
                <w:rFonts w:ascii="Arial" w:hAnsi="Arial" w:cs="Arial"/>
                <w:sz w:val="24"/>
                <w:szCs w:val="24"/>
              </w:rPr>
              <w:t xml:space="preserve"> While the referee is correct about the directives of the law, this paper describes the relationships as they are observed in practice. This was addressed right through. </w:t>
            </w:r>
          </w:p>
          <w:p w:rsidR="0001397E" w:rsidRDefault="0001397E" w:rsidP="00764583">
            <w:pPr>
              <w:rPr>
                <w:rFonts w:ascii="Arial" w:hAnsi="Arial" w:cs="Arial"/>
                <w:sz w:val="24"/>
                <w:szCs w:val="24"/>
              </w:rPr>
            </w:pPr>
          </w:p>
          <w:p w:rsidR="0001397E" w:rsidRPr="00E533C8" w:rsidRDefault="0001397E" w:rsidP="00764583">
            <w:pPr>
              <w:rPr>
                <w:rFonts w:ascii="Arial" w:hAnsi="Arial" w:cs="Arial"/>
                <w:sz w:val="24"/>
                <w:szCs w:val="24"/>
              </w:rPr>
            </w:pPr>
          </w:p>
        </w:tc>
      </w:tr>
      <w:tr w:rsidR="002000AE" w:rsidRPr="00E533C8" w:rsidTr="001A19D3">
        <w:trPr>
          <w:trHeight w:val="248"/>
        </w:trPr>
        <w:tc>
          <w:tcPr>
            <w:tcW w:w="5098" w:type="dxa"/>
          </w:tcPr>
          <w:p w:rsidR="00886A6B" w:rsidRPr="00DB5A34" w:rsidRDefault="00886A6B" w:rsidP="00886A6B">
            <w:pPr>
              <w:jc w:val="both"/>
              <w:rPr>
                <w:i/>
              </w:rPr>
            </w:pPr>
            <w:r>
              <w:t xml:space="preserve">Thirdly the Act is clear in the goal setting of the practitioner as an officer of the Court.  Section 140 states </w:t>
            </w:r>
            <w:r w:rsidRPr="00776C45">
              <w:rPr>
                <w:noProof/>
              </w:rPr>
              <w:t>that</w:t>
            </w:r>
            <w:r w:rsidRPr="00DB5A34">
              <w:rPr>
                <w:i/>
              </w:rPr>
              <w:t xml:space="preserve">“…During a company’s business rescue proceedings, the practitioner- (a) is an </w:t>
            </w:r>
            <w:r w:rsidRPr="00947B94">
              <w:rPr>
                <w:i/>
                <w:highlight w:val="yellow"/>
              </w:rPr>
              <w:t xml:space="preserve">officer of the court, and must </w:t>
            </w:r>
            <w:r w:rsidRPr="00947B94">
              <w:rPr>
                <w:b/>
                <w:i/>
                <w:highlight w:val="yellow"/>
              </w:rPr>
              <w:t>report to the court</w:t>
            </w:r>
            <w:r w:rsidRPr="00947B94">
              <w:rPr>
                <w:i/>
                <w:highlight w:val="yellow"/>
              </w:rPr>
              <w:t xml:space="preserve"> in accordance with any applicable rules of</w:t>
            </w:r>
            <w:r w:rsidRPr="00DB5A34">
              <w:rPr>
                <w:i/>
              </w:rPr>
              <w:t>, or orders made by, the court;</w:t>
            </w:r>
          </w:p>
          <w:p w:rsidR="00886A6B" w:rsidRPr="00DB5A34" w:rsidRDefault="00886A6B" w:rsidP="00886A6B">
            <w:pPr>
              <w:jc w:val="both"/>
              <w:rPr>
                <w:i/>
              </w:rPr>
            </w:pPr>
            <w:r w:rsidRPr="00DB5A34">
              <w:rPr>
                <w:i/>
              </w:rPr>
              <w:t xml:space="preserve">(b)has the responsibilities, duties and </w:t>
            </w:r>
            <w:r w:rsidRPr="00DB5A34">
              <w:rPr>
                <w:b/>
                <w:i/>
              </w:rPr>
              <w:t>liabilities of a director</w:t>
            </w:r>
            <w:r w:rsidRPr="00DB5A34">
              <w:rPr>
                <w:i/>
              </w:rPr>
              <w:t xml:space="preserve"> of the company, as set out in sections 75 to</w:t>
            </w:r>
          </w:p>
          <w:p w:rsidR="002000AE" w:rsidRPr="00886A6B" w:rsidRDefault="00886A6B" w:rsidP="00886A6B">
            <w:pPr>
              <w:jc w:val="both"/>
            </w:pPr>
            <w:r w:rsidRPr="00DB5A34">
              <w:rPr>
                <w:i/>
              </w:rPr>
              <w:t>77;</w:t>
            </w:r>
            <w:r>
              <w:t xml:space="preserve"> ….”</w:t>
            </w:r>
          </w:p>
        </w:tc>
        <w:tc>
          <w:tcPr>
            <w:tcW w:w="851" w:type="dxa"/>
          </w:tcPr>
          <w:p w:rsidR="002000AE" w:rsidRPr="00E533C8" w:rsidRDefault="002000AE" w:rsidP="00764583">
            <w:pPr>
              <w:rPr>
                <w:rFonts w:ascii="Arial" w:hAnsi="Arial" w:cs="Arial"/>
                <w:sz w:val="24"/>
                <w:szCs w:val="24"/>
              </w:rPr>
            </w:pPr>
          </w:p>
        </w:tc>
        <w:tc>
          <w:tcPr>
            <w:tcW w:w="850" w:type="dxa"/>
          </w:tcPr>
          <w:p w:rsidR="002000AE" w:rsidRPr="00E533C8" w:rsidRDefault="002000AE" w:rsidP="00764583">
            <w:pPr>
              <w:rPr>
                <w:rFonts w:ascii="Arial" w:hAnsi="Arial" w:cs="Arial"/>
                <w:sz w:val="24"/>
                <w:szCs w:val="24"/>
              </w:rPr>
            </w:pPr>
          </w:p>
        </w:tc>
        <w:tc>
          <w:tcPr>
            <w:tcW w:w="851" w:type="dxa"/>
          </w:tcPr>
          <w:p w:rsidR="002000AE" w:rsidRPr="00E533C8" w:rsidRDefault="001A19D3" w:rsidP="00764583">
            <w:pPr>
              <w:rPr>
                <w:rFonts w:ascii="Arial" w:hAnsi="Arial" w:cs="Arial"/>
                <w:sz w:val="24"/>
                <w:szCs w:val="24"/>
              </w:rPr>
            </w:pPr>
            <w:r>
              <w:rPr>
                <w:rFonts w:ascii="Arial" w:hAnsi="Arial" w:cs="Arial"/>
                <w:sz w:val="24"/>
                <w:szCs w:val="24"/>
              </w:rPr>
              <w:t>2</w:t>
            </w:r>
          </w:p>
        </w:tc>
        <w:tc>
          <w:tcPr>
            <w:tcW w:w="5684" w:type="dxa"/>
          </w:tcPr>
          <w:p w:rsidR="002000AE" w:rsidRPr="00E533C8" w:rsidRDefault="00B0287C" w:rsidP="00764583">
            <w:pPr>
              <w:rPr>
                <w:rFonts w:ascii="Arial" w:hAnsi="Arial" w:cs="Arial"/>
                <w:sz w:val="24"/>
                <w:szCs w:val="24"/>
              </w:rPr>
            </w:pPr>
            <w:r>
              <w:rPr>
                <w:rFonts w:ascii="Arial" w:hAnsi="Arial" w:cs="Arial"/>
                <w:sz w:val="24"/>
                <w:szCs w:val="24"/>
              </w:rPr>
              <w:t>Legal vs practice argument repeated</w:t>
            </w:r>
          </w:p>
        </w:tc>
      </w:tr>
      <w:tr w:rsidR="002000AE" w:rsidRPr="00E533C8" w:rsidTr="001A19D3">
        <w:trPr>
          <w:trHeight w:val="279"/>
        </w:trPr>
        <w:tc>
          <w:tcPr>
            <w:tcW w:w="5098" w:type="dxa"/>
          </w:tcPr>
          <w:p w:rsidR="002000AE" w:rsidRPr="00886A6B" w:rsidRDefault="00886A6B" w:rsidP="00886A6B">
            <w:pPr>
              <w:autoSpaceDE w:val="0"/>
              <w:autoSpaceDN w:val="0"/>
              <w:adjustRightInd w:val="0"/>
            </w:pPr>
            <w:r>
              <w:t xml:space="preserve">Finally for this article review purposes it is prudent to quote Section 140 which states that </w:t>
            </w:r>
            <w:r w:rsidRPr="00DB5A34">
              <w:rPr>
                <w:i/>
              </w:rPr>
              <w:t xml:space="preserve">“…the creditors of a company are entitled to form a </w:t>
            </w:r>
            <w:r w:rsidRPr="007C4511">
              <w:rPr>
                <w:b/>
                <w:i/>
              </w:rPr>
              <w:t>creditors’ committee</w:t>
            </w:r>
            <w:r w:rsidRPr="00DB5A34">
              <w:rPr>
                <w:i/>
              </w:rPr>
              <w:t>, and through that committee are entitled to be consulted by the practitioner during the development of the business rescue plan</w:t>
            </w:r>
            <w:r w:rsidR="0048092B">
              <w:t>…”</w:t>
            </w:r>
            <w:r w:rsidRPr="0058563A">
              <w:t xml:space="preserve"> this section is followed by section 149 which spells out the role of such a creditors committee. </w:t>
            </w:r>
          </w:p>
        </w:tc>
        <w:tc>
          <w:tcPr>
            <w:tcW w:w="851" w:type="dxa"/>
          </w:tcPr>
          <w:p w:rsidR="002000AE" w:rsidRPr="00E533C8" w:rsidRDefault="002000AE" w:rsidP="00764583">
            <w:pPr>
              <w:rPr>
                <w:rFonts w:ascii="Arial" w:hAnsi="Arial" w:cs="Arial"/>
                <w:sz w:val="24"/>
                <w:szCs w:val="24"/>
              </w:rPr>
            </w:pPr>
          </w:p>
        </w:tc>
        <w:tc>
          <w:tcPr>
            <w:tcW w:w="850" w:type="dxa"/>
          </w:tcPr>
          <w:p w:rsidR="002000AE" w:rsidRPr="00E533C8" w:rsidRDefault="002000AE" w:rsidP="00764583">
            <w:pPr>
              <w:rPr>
                <w:rFonts w:ascii="Arial" w:hAnsi="Arial" w:cs="Arial"/>
                <w:sz w:val="24"/>
                <w:szCs w:val="24"/>
              </w:rPr>
            </w:pPr>
          </w:p>
        </w:tc>
        <w:tc>
          <w:tcPr>
            <w:tcW w:w="851" w:type="dxa"/>
          </w:tcPr>
          <w:p w:rsidR="002000AE" w:rsidRPr="00E533C8" w:rsidRDefault="001A19D3" w:rsidP="00764583">
            <w:pPr>
              <w:rPr>
                <w:rFonts w:ascii="Arial" w:hAnsi="Arial" w:cs="Arial"/>
                <w:sz w:val="24"/>
                <w:szCs w:val="24"/>
              </w:rPr>
            </w:pPr>
            <w:r>
              <w:rPr>
                <w:rFonts w:ascii="Arial" w:hAnsi="Arial" w:cs="Arial"/>
                <w:sz w:val="24"/>
                <w:szCs w:val="24"/>
              </w:rPr>
              <w:t>2</w:t>
            </w:r>
          </w:p>
        </w:tc>
        <w:tc>
          <w:tcPr>
            <w:tcW w:w="5684" w:type="dxa"/>
          </w:tcPr>
          <w:p w:rsidR="002000AE" w:rsidRDefault="00B0287C" w:rsidP="00764583">
            <w:pPr>
              <w:rPr>
                <w:rFonts w:ascii="Arial" w:hAnsi="Arial" w:cs="Arial"/>
                <w:sz w:val="24"/>
                <w:szCs w:val="24"/>
              </w:rPr>
            </w:pPr>
            <w:r>
              <w:rPr>
                <w:rFonts w:ascii="Arial" w:hAnsi="Arial" w:cs="Arial"/>
                <w:sz w:val="24"/>
                <w:szCs w:val="24"/>
              </w:rPr>
              <w:t>Legal vs practice argument repeated</w:t>
            </w:r>
          </w:p>
          <w:p w:rsidR="00396014" w:rsidRDefault="00396014" w:rsidP="00764583">
            <w:pPr>
              <w:rPr>
                <w:rFonts w:ascii="Arial" w:hAnsi="Arial" w:cs="Arial"/>
                <w:sz w:val="24"/>
                <w:szCs w:val="24"/>
              </w:rPr>
            </w:pPr>
          </w:p>
          <w:p w:rsidR="00396014" w:rsidRPr="00E533C8" w:rsidRDefault="00396014" w:rsidP="00764583">
            <w:pPr>
              <w:rPr>
                <w:rFonts w:ascii="Arial" w:hAnsi="Arial" w:cs="Arial"/>
                <w:sz w:val="24"/>
                <w:szCs w:val="24"/>
              </w:rPr>
            </w:pPr>
            <w:r>
              <w:rPr>
                <w:rFonts w:ascii="Arial" w:hAnsi="Arial" w:cs="Arial"/>
                <w:sz w:val="24"/>
                <w:szCs w:val="24"/>
              </w:rPr>
              <w:t>Creditor committee has shown in practice to be under utilised</w:t>
            </w:r>
          </w:p>
        </w:tc>
      </w:tr>
      <w:tr w:rsidR="002000AE" w:rsidRPr="00E533C8" w:rsidTr="001A19D3">
        <w:trPr>
          <w:trHeight w:val="248"/>
        </w:trPr>
        <w:tc>
          <w:tcPr>
            <w:tcW w:w="5098" w:type="dxa"/>
          </w:tcPr>
          <w:p w:rsidR="002000AE" w:rsidRPr="00886A6B" w:rsidRDefault="00886A6B" w:rsidP="00886A6B">
            <w:pPr>
              <w:jc w:val="both"/>
            </w:pPr>
            <w:r>
              <w:t xml:space="preserve">I believe that these quotes from the Act clearly </w:t>
            </w:r>
            <w:r w:rsidRPr="00396014">
              <w:rPr>
                <w:highlight w:val="yellow"/>
              </w:rPr>
              <w:t>dismisses the conception that an Agency theory relationship exist with the business rescue practitioner</w:t>
            </w:r>
            <w:r>
              <w:t xml:space="preserve">. Any relationship other that what is described in the Act is not consistent with the purpose of the Act stated in Section 7(k). </w:t>
            </w:r>
          </w:p>
        </w:tc>
        <w:tc>
          <w:tcPr>
            <w:tcW w:w="851" w:type="dxa"/>
          </w:tcPr>
          <w:p w:rsidR="002000AE" w:rsidRPr="00E533C8" w:rsidRDefault="002000AE" w:rsidP="00764583">
            <w:pPr>
              <w:rPr>
                <w:rFonts w:ascii="Arial" w:hAnsi="Arial" w:cs="Arial"/>
                <w:sz w:val="24"/>
                <w:szCs w:val="24"/>
              </w:rPr>
            </w:pPr>
          </w:p>
        </w:tc>
        <w:tc>
          <w:tcPr>
            <w:tcW w:w="850" w:type="dxa"/>
          </w:tcPr>
          <w:p w:rsidR="002000AE" w:rsidRPr="00E533C8" w:rsidRDefault="002000AE" w:rsidP="00764583">
            <w:pPr>
              <w:rPr>
                <w:rFonts w:ascii="Arial" w:hAnsi="Arial" w:cs="Arial"/>
                <w:sz w:val="24"/>
                <w:szCs w:val="24"/>
              </w:rPr>
            </w:pPr>
          </w:p>
        </w:tc>
        <w:tc>
          <w:tcPr>
            <w:tcW w:w="851" w:type="dxa"/>
          </w:tcPr>
          <w:p w:rsidR="002000AE" w:rsidRPr="00E533C8" w:rsidRDefault="001A19D3" w:rsidP="00764583">
            <w:pPr>
              <w:rPr>
                <w:rFonts w:ascii="Arial" w:hAnsi="Arial" w:cs="Arial"/>
                <w:sz w:val="24"/>
                <w:szCs w:val="24"/>
              </w:rPr>
            </w:pPr>
            <w:r>
              <w:rPr>
                <w:rFonts w:ascii="Arial" w:hAnsi="Arial" w:cs="Arial"/>
                <w:sz w:val="24"/>
                <w:szCs w:val="24"/>
              </w:rPr>
              <w:t>2</w:t>
            </w:r>
          </w:p>
        </w:tc>
        <w:tc>
          <w:tcPr>
            <w:tcW w:w="5684" w:type="dxa"/>
          </w:tcPr>
          <w:p w:rsidR="002000AE" w:rsidRPr="00E533C8" w:rsidRDefault="00396014" w:rsidP="00764583">
            <w:pPr>
              <w:rPr>
                <w:rFonts w:ascii="Arial" w:hAnsi="Arial" w:cs="Arial"/>
                <w:sz w:val="24"/>
                <w:szCs w:val="24"/>
              </w:rPr>
            </w:pPr>
            <w:r>
              <w:rPr>
                <w:rFonts w:ascii="Arial" w:hAnsi="Arial" w:cs="Arial"/>
                <w:sz w:val="24"/>
                <w:szCs w:val="24"/>
              </w:rPr>
              <w:t>Legally yes agreed – practice as shown from this research appear different.</w:t>
            </w:r>
          </w:p>
        </w:tc>
      </w:tr>
      <w:tr w:rsidR="002000AE" w:rsidRPr="00E533C8" w:rsidTr="001A19D3">
        <w:trPr>
          <w:trHeight w:val="248"/>
        </w:trPr>
        <w:tc>
          <w:tcPr>
            <w:tcW w:w="5098" w:type="dxa"/>
          </w:tcPr>
          <w:p w:rsidR="002000AE" w:rsidRPr="00DB7381" w:rsidRDefault="00886A6B" w:rsidP="00886A6B">
            <w:pPr>
              <w:rPr>
                <w:rFonts w:ascii="Arial" w:hAnsi="Arial" w:cs="Arial"/>
                <w:b/>
                <w:sz w:val="24"/>
                <w:szCs w:val="24"/>
              </w:rPr>
            </w:pPr>
            <w:r w:rsidRPr="00974FDB">
              <w:t>I have referred to the use of</w:t>
            </w:r>
            <w:r>
              <w:t xml:space="preserve"> literature, sourced from the USA on the subject matter used under the </w:t>
            </w:r>
            <w:r w:rsidRPr="001C40E6">
              <w:rPr>
                <w:noProof/>
              </w:rPr>
              <w:t>Bankrup</w:t>
            </w:r>
            <w:r>
              <w:rPr>
                <w:noProof/>
              </w:rPr>
              <w:t>t</w:t>
            </w:r>
            <w:r w:rsidRPr="001C40E6">
              <w:rPr>
                <w:noProof/>
              </w:rPr>
              <w:t>cy</w:t>
            </w:r>
            <w:r>
              <w:t xml:space="preserve"> Code’s Chapter 11, which is not applicable in the South African </w:t>
            </w:r>
            <w:r w:rsidRPr="001C40E6">
              <w:rPr>
                <w:noProof/>
              </w:rPr>
              <w:t>contextof</w:t>
            </w:r>
            <w:r>
              <w:t xml:space="preserve"> business rescue as prescribed by the Act.  The author refers to sources which </w:t>
            </w:r>
            <w:r w:rsidRPr="001C40E6">
              <w:rPr>
                <w:noProof/>
              </w:rPr>
              <w:t>workare</w:t>
            </w:r>
            <w:r>
              <w:t xml:space="preserve"> </w:t>
            </w:r>
            <w:r w:rsidRPr="00396014">
              <w:rPr>
                <w:highlight w:val="yellow"/>
              </w:rPr>
              <w:t>not based on grounded theory</w:t>
            </w:r>
            <w:r>
              <w:t xml:space="preserve">, such as </w:t>
            </w:r>
            <w:proofErr w:type="spellStart"/>
            <w:r w:rsidRPr="00143B41">
              <w:t>Gribnitz</w:t>
            </w:r>
            <w:proofErr w:type="spellEnd"/>
            <w:r w:rsidRPr="00143B41">
              <w:t>, K. &amp;</w:t>
            </w:r>
            <w:proofErr w:type="spellStart"/>
            <w:r w:rsidRPr="00143B41">
              <w:t>App</w:t>
            </w:r>
            <w:r>
              <w:t>el</w:t>
            </w:r>
            <w:r w:rsidRPr="00143B41">
              <w:t>baum</w:t>
            </w:r>
            <w:proofErr w:type="spellEnd"/>
            <w:r w:rsidRPr="00143B41">
              <w:t>, R. 2014</w:t>
            </w:r>
            <w:r>
              <w:t xml:space="preserve"> (spelled </w:t>
            </w:r>
            <w:proofErr w:type="spellStart"/>
            <w:r>
              <w:t>Applebaum</w:t>
            </w:r>
            <w:proofErr w:type="spellEnd"/>
            <w:r>
              <w:t xml:space="preserve"> in the article) and Jacobs EM. 2012, </w:t>
            </w:r>
            <w:proofErr w:type="gramStart"/>
            <w:r>
              <w:t>who’s</w:t>
            </w:r>
            <w:proofErr w:type="gramEnd"/>
            <w:r>
              <w:t xml:space="preserve"> comments and observations are based on their </w:t>
            </w:r>
            <w:r w:rsidRPr="00396014">
              <w:rPr>
                <w:highlight w:val="yellow"/>
              </w:rPr>
              <w:t>personal un-grounded views and believes.</w:t>
            </w:r>
          </w:p>
        </w:tc>
        <w:tc>
          <w:tcPr>
            <w:tcW w:w="851" w:type="dxa"/>
          </w:tcPr>
          <w:p w:rsidR="002000AE" w:rsidRPr="00E533C8" w:rsidRDefault="002000AE" w:rsidP="00764583">
            <w:pPr>
              <w:rPr>
                <w:rFonts w:ascii="Arial" w:hAnsi="Arial" w:cs="Arial"/>
                <w:sz w:val="24"/>
                <w:szCs w:val="24"/>
              </w:rPr>
            </w:pPr>
          </w:p>
        </w:tc>
        <w:tc>
          <w:tcPr>
            <w:tcW w:w="850" w:type="dxa"/>
          </w:tcPr>
          <w:p w:rsidR="002000AE" w:rsidRPr="00E533C8" w:rsidRDefault="002000AE" w:rsidP="00764583">
            <w:pPr>
              <w:rPr>
                <w:rFonts w:ascii="Arial" w:hAnsi="Arial" w:cs="Arial"/>
                <w:sz w:val="24"/>
                <w:szCs w:val="24"/>
              </w:rPr>
            </w:pPr>
          </w:p>
        </w:tc>
        <w:tc>
          <w:tcPr>
            <w:tcW w:w="851" w:type="dxa"/>
          </w:tcPr>
          <w:p w:rsidR="002000AE" w:rsidRPr="00E533C8" w:rsidRDefault="002000AE" w:rsidP="00764583">
            <w:pPr>
              <w:rPr>
                <w:rFonts w:ascii="Arial" w:hAnsi="Arial" w:cs="Arial"/>
                <w:sz w:val="24"/>
                <w:szCs w:val="24"/>
              </w:rPr>
            </w:pPr>
          </w:p>
        </w:tc>
        <w:tc>
          <w:tcPr>
            <w:tcW w:w="5684" w:type="dxa"/>
          </w:tcPr>
          <w:p w:rsidR="002000AE" w:rsidRDefault="00396014" w:rsidP="00764583">
            <w:pPr>
              <w:rPr>
                <w:rFonts w:ascii="Arial" w:hAnsi="Arial" w:cs="Arial"/>
                <w:sz w:val="24"/>
                <w:szCs w:val="24"/>
              </w:rPr>
            </w:pPr>
            <w:r>
              <w:rPr>
                <w:rFonts w:ascii="Arial" w:hAnsi="Arial" w:cs="Arial"/>
                <w:sz w:val="24"/>
                <w:szCs w:val="24"/>
              </w:rPr>
              <w:t xml:space="preserve">1 Research methodology well described for </w:t>
            </w:r>
            <w:proofErr w:type="spellStart"/>
            <w:r>
              <w:rPr>
                <w:rFonts w:ascii="Arial" w:hAnsi="Arial" w:cs="Arial"/>
                <w:sz w:val="24"/>
                <w:szCs w:val="24"/>
              </w:rPr>
              <w:t>Appelbaum</w:t>
            </w:r>
            <w:proofErr w:type="spellEnd"/>
            <w:r>
              <w:rPr>
                <w:rFonts w:ascii="Arial" w:hAnsi="Arial" w:cs="Arial"/>
                <w:sz w:val="24"/>
                <w:szCs w:val="24"/>
              </w:rPr>
              <w:t xml:space="preserve"> and </w:t>
            </w:r>
            <w:proofErr w:type="spellStart"/>
            <w:r>
              <w:rPr>
                <w:rFonts w:ascii="Arial" w:hAnsi="Arial" w:cs="Arial"/>
                <w:sz w:val="24"/>
                <w:szCs w:val="24"/>
              </w:rPr>
              <w:t>Gribnitz</w:t>
            </w:r>
            <w:proofErr w:type="spellEnd"/>
            <w:r>
              <w:rPr>
                <w:rFonts w:ascii="Arial" w:hAnsi="Arial" w:cs="Arial"/>
                <w:sz w:val="24"/>
                <w:szCs w:val="24"/>
              </w:rPr>
              <w:t xml:space="preserve"> for descriptive statistics</w:t>
            </w:r>
          </w:p>
          <w:p w:rsidR="00396014" w:rsidRDefault="00396014" w:rsidP="00764583">
            <w:pPr>
              <w:rPr>
                <w:rFonts w:ascii="Arial" w:hAnsi="Arial" w:cs="Arial"/>
                <w:sz w:val="24"/>
                <w:szCs w:val="24"/>
              </w:rPr>
            </w:pPr>
          </w:p>
          <w:p w:rsidR="00396014" w:rsidRDefault="00396014" w:rsidP="00764583">
            <w:pPr>
              <w:rPr>
                <w:rFonts w:ascii="Arial" w:hAnsi="Arial" w:cs="Arial"/>
                <w:sz w:val="24"/>
                <w:szCs w:val="24"/>
              </w:rPr>
            </w:pPr>
          </w:p>
          <w:p w:rsidR="00396014" w:rsidRPr="00E533C8" w:rsidRDefault="00396014" w:rsidP="00764583">
            <w:pPr>
              <w:rPr>
                <w:rFonts w:ascii="Arial" w:hAnsi="Arial" w:cs="Arial"/>
                <w:sz w:val="24"/>
                <w:szCs w:val="24"/>
              </w:rPr>
            </w:pPr>
            <w:r>
              <w:rPr>
                <w:rFonts w:ascii="Arial" w:hAnsi="Arial" w:cs="Arial"/>
                <w:sz w:val="24"/>
                <w:szCs w:val="24"/>
              </w:rPr>
              <w:t>2 Jacobs – legal view</w:t>
            </w:r>
          </w:p>
        </w:tc>
      </w:tr>
      <w:tr w:rsidR="002000AE" w:rsidRPr="00E533C8" w:rsidTr="001A19D3">
        <w:trPr>
          <w:trHeight w:val="279"/>
        </w:trPr>
        <w:tc>
          <w:tcPr>
            <w:tcW w:w="5098" w:type="dxa"/>
          </w:tcPr>
          <w:p w:rsidR="002000AE" w:rsidRPr="00886A6B" w:rsidRDefault="00886A6B" w:rsidP="00886A6B">
            <w:pPr>
              <w:jc w:val="both"/>
            </w:pPr>
            <w:r>
              <w:t xml:space="preserve">In a circuitous way the article, due to the </w:t>
            </w:r>
            <w:r w:rsidRPr="0058563A">
              <w:t>auto</w:t>
            </w:r>
            <w:r>
              <w:t>-</w:t>
            </w:r>
            <w:r w:rsidRPr="0058563A">
              <w:t>ethnographic</w:t>
            </w:r>
            <w:r>
              <w:t xml:space="preserve"> foundation, ventilates a lot of the miss- conception about business rescue and is a realistic view of what the rescue industry is perceived to be by a certain portion of the population. Due to the newness of business rescue in South Africa, and with the legacy of the insolvency regime in the background, a lot of the author’s observations from this limited population are valid. </w:t>
            </w:r>
            <w:r w:rsidRPr="00396014">
              <w:rPr>
                <w:highlight w:val="yellow"/>
              </w:rPr>
              <w:t xml:space="preserve">The </w:t>
            </w:r>
            <w:r w:rsidRPr="00396014">
              <w:rPr>
                <w:noProof/>
                <w:highlight w:val="yellow"/>
              </w:rPr>
              <w:t>author, however,</w:t>
            </w:r>
            <w:r w:rsidRPr="00396014">
              <w:rPr>
                <w:highlight w:val="yellow"/>
              </w:rPr>
              <w:t xml:space="preserve"> fails to follow through and substantiate these observations with </w:t>
            </w:r>
            <w:r w:rsidRPr="00396014">
              <w:rPr>
                <w:noProof/>
                <w:highlight w:val="yellow"/>
              </w:rPr>
              <w:t>factual</w:t>
            </w:r>
            <w:r w:rsidRPr="00396014">
              <w:rPr>
                <w:highlight w:val="yellow"/>
              </w:rPr>
              <w:t xml:space="preserve"> outcome and common law developments in this field</w:t>
            </w:r>
            <w:r>
              <w:t xml:space="preserve">. The population which is included in the research should be expanded the get a more balanced result. In researching </w:t>
            </w:r>
            <w:r w:rsidRPr="00776C45">
              <w:rPr>
                <w:noProof/>
              </w:rPr>
              <w:t>re</w:t>
            </w:r>
            <w:r>
              <w:rPr>
                <w:noProof/>
              </w:rPr>
              <w:t>c</w:t>
            </w:r>
            <w:r w:rsidRPr="00776C45">
              <w:rPr>
                <w:noProof/>
              </w:rPr>
              <w:t>ent</w:t>
            </w:r>
            <w:r>
              <w:t xml:space="preserve"> case law on the matter of removal of practitioners based on the lack of independence, it is evident that the rescue environment does not tolerate any form of agency relationship. </w:t>
            </w:r>
          </w:p>
        </w:tc>
        <w:tc>
          <w:tcPr>
            <w:tcW w:w="851" w:type="dxa"/>
          </w:tcPr>
          <w:p w:rsidR="002000AE" w:rsidRPr="00E533C8" w:rsidRDefault="002000AE" w:rsidP="00764583">
            <w:pPr>
              <w:rPr>
                <w:rFonts w:ascii="Arial" w:hAnsi="Arial" w:cs="Arial"/>
                <w:sz w:val="24"/>
                <w:szCs w:val="24"/>
              </w:rPr>
            </w:pPr>
          </w:p>
        </w:tc>
        <w:tc>
          <w:tcPr>
            <w:tcW w:w="850" w:type="dxa"/>
          </w:tcPr>
          <w:p w:rsidR="002000AE" w:rsidRPr="00E533C8" w:rsidRDefault="002000AE" w:rsidP="00764583">
            <w:pPr>
              <w:rPr>
                <w:rFonts w:ascii="Arial" w:hAnsi="Arial" w:cs="Arial"/>
                <w:sz w:val="24"/>
                <w:szCs w:val="24"/>
              </w:rPr>
            </w:pPr>
          </w:p>
        </w:tc>
        <w:tc>
          <w:tcPr>
            <w:tcW w:w="851" w:type="dxa"/>
          </w:tcPr>
          <w:p w:rsidR="002000AE" w:rsidRPr="00E533C8" w:rsidRDefault="00396014" w:rsidP="00764583">
            <w:pPr>
              <w:rPr>
                <w:rFonts w:ascii="Arial" w:hAnsi="Arial" w:cs="Arial"/>
                <w:sz w:val="24"/>
                <w:szCs w:val="24"/>
              </w:rPr>
            </w:pPr>
            <w:r>
              <w:rPr>
                <w:rFonts w:ascii="Arial" w:hAnsi="Arial" w:cs="Arial"/>
                <w:sz w:val="24"/>
                <w:szCs w:val="24"/>
              </w:rPr>
              <w:t>2</w:t>
            </w:r>
          </w:p>
        </w:tc>
        <w:tc>
          <w:tcPr>
            <w:tcW w:w="5684" w:type="dxa"/>
          </w:tcPr>
          <w:p w:rsidR="002000AE" w:rsidRPr="00E533C8" w:rsidRDefault="00396014" w:rsidP="00764583">
            <w:pPr>
              <w:rPr>
                <w:rFonts w:ascii="Arial" w:hAnsi="Arial" w:cs="Arial"/>
                <w:sz w:val="24"/>
                <w:szCs w:val="24"/>
              </w:rPr>
            </w:pPr>
            <w:r>
              <w:rPr>
                <w:rFonts w:ascii="Arial" w:hAnsi="Arial" w:cs="Arial"/>
                <w:sz w:val="24"/>
                <w:szCs w:val="24"/>
              </w:rPr>
              <w:t>Legal argument again – addressed by several clarifications through</w:t>
            </w:r>
            <w:r w:rsidR="0084194F">
              <w:rPr>
                <w:rFonts w:ascii="Arial" w:hAnsi="Arial" w:cs="Arial"/>
                <w:sz w:val="24"/>
                <w:szCs w:val="24"/>
              </w:rPr>
              <w:t>out</w:t>
            </w:r>
            <w:r>
              <w:rPr>
                <w:rFonts w:ascii="Arial" w:hAnsi="Arial" w:cs="Arial"/>
                <w:sz w:val="24"/>
                <w:szCs w:val="24"/>
              </w:rPr>
              <w:t xml:space="preserve"> the text in alignment with Reviewer 1.</w:t>
            </w:r>
          </w:p>
        </w:tc>
      </w:tr>
      <w:tr w:rsidR="002000AE" w:rsidRPr="00E533C8" w:rsidTr="001A19D3">
        <w:trPr>
          <w:trHeight w:val="279"/>
        </w:trPr>
        <w:tc>
          <w:tcPr>
            <w:tcW w:w="5098" w:type="dxa"/>
          </w:tcPr>
          <w:p w:rsidR="00886A6B" w:rsidRPr="00776C45" w:rsidRDefault="00886A6B" w:rsidP="00886A6B">
            <w:pPr>
              <w:pStyle w:val="ListParagraph"/>
              <w:numPr>
                <w:ilvl w:val="0"/>
                <w:numId w:val="2"/>
              </w:numPr>
              <w:jc w:val="both"/>
              <w:rPr>
                <w:b/>
              </w:rPr>
            </w:pPr>
            <w:r w:rsidRPr="00776C45">
              <w:rPr>
                <w:b/>
              </w:rPr>
              <w:t>Is the research question clear and concise?</w:t>
            </w:r>
          </w:p>
          <w:p w:rsidR="002000AE" w:rsidRPr="00DB7381" w:rsidRDefault="00886A6B" w:rsidP="00886A6B">
            <w:pPr>
              <w:rPr>
                <w:rFonts w:ascii="Arial" w:hAnsi="Arial" w:cs="Arial"/>
                <w:sz w:val="24"/>
                <w:szCs w:val="24"/>
              </w:rPr>
            </w:pPr>
            <w:r>
              <w:t>Refer to comment above</w:t>
            </w:r>
          </w:p>
        </w:tc>
        <w:tc>
          <w:tcPr>
            <w:tcW w:w="851" w:type="dxa"/>
          </w:tcPr>
          <w:p w:rsidR="002000AE" w:rsidRPr="00E533C8" w:rsidRDefault="002000AE" w:rsidP="00764583">
            <w:pPr>
              <w:rPr>
                <w:rFonts w:ascii="Arial" w:hAnsi="Arial" w:cs="Arial"/>
                <w:sz w:val="24"/>
                <w:szCs w:val="24"/>
              </w:rPr>
            </w:pPr>
          </w:p>
        </w:tc>
        <w:tc>
          <w:tcPr>
            <w:tcW w:w="850" w:type="dxa"/>
          </w:tcPr>
          <w:p w:rsidR="002000AE" w:rsidRPr="00E533C8" w:rsidRDefault="002000AE" w:rsidP="00764583">
            <w:pPr>
              <w:rPr>
                <w:rFonts w:ascii="Arial" w:hAnsi="Arial" w:cs="Arial"/>
                <w:sz w:val="24"/>
                <w:szCs w:val="24"/>
              </w:rPr>
            </w:pPr>
          </w:p>
        </w:tc>
        <w:tc>
          <w:tcPr>
            <w:tcW w:w="851" w:type="dxa"/>
          </w:tcPr>
          <w:p w:rsidR="002000AE" w:rsidRPr="00E533C8" w:rsidRDefault="002000AE" w:rsidP="00764583">
            <w:pPr>
              <w:rPr>
                <w:rFonts w:ascii="Arial" w:hAnsi="Arial" w:cs="Arial"/>
                <w:sz w:val="24"/>
                <w:szCs w:val="24"/>
              </w:rPr>
            </w:pPr>
          </w:p>
        </w:tc>
        <w:tc>
          <w:tcPr>
            <w:tcW w:w="5684" w:type="dxa"/>
          </w:tcPr>
          <w:p w:rsidR="002000AE" w:rsidRPr="00E533C8" w:rsidRDefault="002000AE" w:rsidP="00764583">
            <w:pPr>
              <w:rPr>
                <w:rFonts w:ascii="Arial" w:hAnsi="Arial" w:cs="Arial"/>
                <w:sz w:val="24"/>
                <w:szCs w:val="24"/>
              </w:rPr>
            </w:pPr>
          </w:p>
        </w:tc>
      </w:tr>
      <w:tr w:rsidR="002000AE" w:rsidRPr="00E533C8" w:rsidTr="001A19D3">
        <w:trPr>
          <w:trHeight w:val="248"/>
        </w:trPr>
        <w:tc>
          <w:tcPr>
            <w:tcW w:w="5098" w:type="dxa"/>
          </w:tcPr>
          <w:p w:rsidR="0048092B" w:rsidRPr="00776C45" w:rsidRDefault="0048092B" w:rsidP="0048092B">
            <w:pPr>
              <w:pStyle w:val="ListParagraph"/>
              <w:numPr>
                <w:ilvl w:val="0"/>
                <w:numId w:val="2"/>
              </w:numPr>
              <w:jc w:val="both"/>
              <w:rPr>
                <w:b/>
              </w:rPr>
            </w:pPr>
            <w:r w:rsidRPr="00776C45">
              <w:rPr>
                <w:b/>
              </w:rPr>
              <w:t>Is the research method appropriate to address the research question?</w:t>
            </w:r>
          </w:p>
          <w:p w:rsidR="002000AE" w:rsidRPr="00DB7381" w:rsidRDefault="0048092B" w:rsidP="0048092B">
            <w:pPr>
              <w:jc w:val="both"/>
              <w:rPr>
                <w:rFonts w:ascii="Arial" w:hAnsi="Arial" w:cs="Arial"/>
                <w:sz w:val="24"/>
                <w:szCs w:val="24"/>
              </w:rPr>
            </w:pPr>
            <w:r>
              <w:t>Refer to comments above and under point 4b.</w:t>
            </w:r>
          </w:p>
        </w:tc>
        <w:tc>
          <w:tcPr>
            <w:tcW w:w="851" w:type="dxa"/>
          </w:tcPr>
          <w:p w:rsidR="002000AE" w:rsidRPr="00E533C8" w:rsidRDefault="002000AE" w:rsidP="00764583">
            <w:pPr>
              <w:rPr>
                <w:rFonts w:ascii="Arial" w:hAnsi="Arial" w:cs="Arial"/>
                <w:sz w:val="24"/>
                <w:szCs w:val="24"/>
              </w:rPr>
            </w:pPr>
          </w:p>
        </w:tc>
        <w:tc>
          <w:tcPr>
            <w:tcW w:w="850" w:type="dxa"/>
          </w:tcPr>
          <w:p w:rsidR="002000AE" w:rsidRPr="00E533C8" w:rsidRDefault="002000AE" w:rsidP="00764583">
            <w:pPr>
              <w:rPr>
                <w:rFonts w:ascii="Arial" w:hAnsi="Arial" w:cs="Arial"/>
                <w:sz w:val="24"/>
                <w:szCs w:val="24"/>
              </w:rPr>
            </w:pPr>
          </w:p>
        </w:tc>
        <w:tc>
          <w:tcPr>
            <w:tcW w:w="851" w:type="dxa"/>
          </w:tcPr>
          <w:p w:rsidR="002000AE" w:rsidRPr="00E533C8" w:rsidRDefault="002000AE" w:rsidP="00764583">
            <w:pPr>
              <w:rPr>
                <w:rFonts w:ascii="Arial" w:hAnsi="Arial" w:cs="Arial"/>
                <w:sz w:val="24"/>
                <w:szCs w:val="24"/>
              </w:rPr>
            </w:pPr>
          </w:p>
        </w:tc>
        <w:tc>
          <w:tcPr>
            <w:tcW w:w="5684" w:type="dxa"/>
          </w:tcPr>
          <w:p w:rsidR="002000AE" w:rsidRPr="00E533C8" w:rsidRDefault="002000AE" w:rsidP="00764583">
            <w:pPr>
              <w:rPr>
                <w:rFonts w:ascii="Arial" w:hAnsi="Arial" w:cs="Arial"/>
                <w:sz w:val="24"/>
                <w:szCs w:val="24"/>
              </w:rPr>
            </w:pPr>
          </w:p>
        </w:tc>
      </w:tr>
      <w:tr w:rsidR="002000AE" w:rsidRPr="00E533C8" w:rsidTr="001A19D3">
        <w:trPr>
          <w:trHeight w:val="279"/>
        </w:trPr>
        <w:tc>
          <w:tcPr>
            <w:tcW w:w="5098" w:type="dxa"/>
          </w:tcPr>
          <w:p w:rsidR="0048092B" w:rsidRPr="00776C45" w:rsidRDefault="0048092B" w:rsidP="0048092B">
            <w:pPr>
              <w:pStyle w:val="ListParagraph"/>
              <w:numPr>
                <w:ilvl w:val="0"/>
                <w:numId w:val="2"/>
              </w:numPr>
              <w:jc w:val="both"/>
              <w:rPr>
                <w:b/>
              </w:rPr>
            </w:pPr>
            <w:r w:rsidRPr="00776C45">
              <w:rPr>
                <w:b/>
              </w:rPr>
              <w:t xml:space="preserve">Essentially, is this article suitable for publication in an ISI accredited journal? </w:t>
            </w:r>
          </w:p>
          <w:p w:rsidR="002000AE" w:rsidRPr="0048092B" w:rsidRDefault="0048092B" w:rsidP="0048092B">
            <w:pPr>
              <w:jc w:val="both"/>
            </w:pPr>
            <w:r w:rsidRPr="00396014">
              <w:rPr>
                <w:highlight w:val="yellow"/>
              </w:rPr>
              <w:t>No. Applying Agency Theory in the context of the South African business rescue system is not plausible at all.</w:t>
            </w:r>
          </w:p>
        </w:tc>
        <w:tc>
          <w:tcPr>
            <w:tcW w:w="851" w:type="dxa"/>
          </w:tcPr>
          <w:p w:rsidR="002000AE" w:rsidRPr="00E533C8" w:rsidRDefault="002000AE" w:rsidP="00764583">
            <w:pPr>
              <w:rPr>
                <w:rFonts w:ascii="Arial" w:hAnsi="Arial" w:cs="Arial"/>
                <w:sz w:val="24"/>
                <w:szCs w:val="24"/>
              </w:rPr>
            </w:pPr>
          </w:p>
        </w:tc>
        <w:tc>
          <w:tcPr>
            <w:tcW w:w="850" w:type="dxa"/>
          </w:tcPr>
          <w:p w:rsidR="002000AE" w:rsidRPr="00E533C8" w:rsidRDefault="002000AE" w:rsidP="00764583">
            <w:pPr>
              <w:rPr>
                <w:rFonts w:ascii="Arial" w:hAnsi="Arial" w:cs="Arial"/>
                <w:sz w:val="24"/>
                <w:szCs w:val="24"/>
              </w:rPr>
            </w:pPr>
          </w:p>
        </w:tc>
        <w:tc>
          <w:tcPr>
            <w:tcW w:w="851" w:type="dxa"/>
          </w:tcPr>
          <w:p w:rsidR="002000AE" w:rsidRPr="00E533C8" w:rsidRDefault="00396014" w:rsidP="00764583">
            <w:pPr>
              <w:rPr>
                <w:rFonts w:ascii="Arial" w:hAnsi="Arial" w:cs="Arial"/>
                <w:sz w:val="24"/>
                <w:szCs w:val="24"/>
              </w:rPr>
            </w:pPr>
            <w:r>
              <w:rPr>
                <w:rFonts w:ascii="Arial" w:hAnsi="Arial" w:cs="Arial"/>
                <w:sz w:val="24"/>
                <w:szCs w:val="24"/>
              </w:rPr>
              <w:t>2</w:t>
            </w:r>
          </w:p>
        </w:tc>
        <w:tc>
          <w:tcPr>
            <w:tcW w:w="5684" w:type="dxa"/>
          </w:tcPr>
          <w:p w:rsidR="002000AE" w:rsidRPr="00E533C8" w:rsidRDefault="00396014" w:rsidP="00764583">
            <w:pPr>
              <w:rPr>
                <w:rFonts w:ascii="Arial" w:hAnsi="Arial" w:cs="Arial"/>
                <w:sz w:val="24"/>
                <w:szCs w:val="24"/>
              </w:rPr>
            </w:pPr>
            <w:r>
              <w:rPr>
                <w:rFonts w:ascii="Arial" w:hAnsi="Arial" w:cs="Arial"/>
                <w:sz w:val="24"/>
                <w:szCs w:val="24"/>
              </w:rPr>
              <w:t>Confirms the argument in this paper – the difference between practice and legal correctness</w:t>
            </w:r>
          </w:p>
        </w:tc>
      </w:tr>
      <w:tr w:rsidR="002000AE" w:rsidRPr="00E533C8" w:rsidTr="001A19D3">
        <w:trPr>
          <w:trHeight w:val="248"/>
        </w:trPr>
        <w:tc>
          <w:tcPr>
            <w:tcW w:w="5098" w:type="dxa"/>
          </w:tcPr>
          <w:p w:rsidR="0048092B" w:rsidRPr="00776C45" w:rsidRDefault="0048092B" w:rsidP="0048092B">
            <w:pPr>
              <w:pStyle w:val="ListParagraph"/>
              <w:numPr>
                <w:ilvl w:val="0"/>
                <w:numId w:val="2"/>
              </w:numPr>
              <w:jc w:val="both"/>
              <w:rPr>
                <w:b/>
              </w:rPr>
            </w:pPr>
            <w:r w:rsidRPr="00776C45">
              <w:rPr>
                <w:b/>
              </w:rPr>
              <w:t>If so, do you have any suggestions for improvement or shortening?  What are those suggestions?</w:t>
            </w:r>
          </w:p>
          <w:p w:rsidR="002000AE" w:rsidRPr="00DB7381" w:rsidRDefault="0048092B" w:rsidP="0048092B">
            <w:pPr>
              <w:jc w:val="both"/>
              <w:rPr>
                <w:rFonts w:ascii="Arial" w:hAnsi="Arial" w:cs="Arial"/>
                <w:sz w:val="24"/>
                <w:szCs w:val="24"/>
              </w:rPr>
            </w:pPr>
            <w:r>
              <w:t xml:space="preserve">It is suggested that the author changes the </w:t>
            </w:r>
            <w:r w:rsidRPr="00776C45">
              <w:rPr>
                <w:noProof/>
              </w:rPr>
              <w:t>focu</w:t>
            </w:r>
            <w:r>
              <w:rPr>
                <w:noProof/>
              </w:rPr>
              <w:t xml:space="preserve">s of this article to </w:t>
            </w:r>
            <w:r w:rsidRPr="00396014">
              <w:rPr>
                <w:noProof/>
                <w:highlight w:val="yellow"/>
              </w:rPr>
              <w:t>the role that the affected parties can play</w:t>
            </w:r>
            <w:r>
              <w:rPr>
                <w:noProof/>
              </w:rPr>
              <w:t xml:space="preserve"> in ensuring </w:t>
            </w:r>
            <w:r w:rsidRPr="00776C45">
              <w:rPr>
                <w:noProof/>
              </w:rPr>
              <w:t>co-op</w:t>
            </w:r>
            <w:r>
              <w:rPr>
                <w:noProof/>
              </w:rPr>
              <w:t>e</w:t>
            </w:r>
            <w:r w:rsidRPr="00776C45">
              <w:rPr>
                <w:noProof/>
              </w:rPr>
              <w:t>ration</w:t>
            </w:r>
            <w:r>
              <w:rPr>
                <w:noProof/>
              </w:rPr>
              <w:t xml:space="preserve"> from the affected parties (incorrectly referred to as </w:t>
            </w:r>
            <w:r w:rsidRPr="00776C45">
              <w:rPr>
                <w:noProof/>
              </w:rPr>
              <w:t>pri</w:t>
            </w:r>
            <w:r>
              <w:rPr>
                <w:noProof/>
              </w:rPr>
              <w:t>n</w:t>
            </w:r>
            <w:r w:rsidRPr="00776C45">
              <w:rPr>
                <w:noProof/>
              </w:rPr>
              <w:t>cipals</w:t>
            </w:r>
            <w:r>
              <w:rPr>
                <w:noProof/>
              </w:rPr>
              <w:t xml:space="preserve"> and i</w:t>
            </w:r>
            <w:r w:rsidRPr="00776C45">
              <w:rPr>
                <w:noProof/>
              </w:rPr>
              <w:t>ncumbent</w:t>
            </w:r>
            <w:r>
              <w:rPr>
                <w:noProof/>
              </w:rPr>
              <w:t xml:space="preserve"> principals in the article), with the practitioner to enable successful rescue of the company.  The popular </w:t>
            </w:r>
            <w:r w:rsidRPr="00776C45">
              <w:rPr>
                <w:noProof/>
              </w:rPr>
              <w:t>misperceptions</w:t>
            </w:r>
            <w:r>
              <w:rPr>
                <w:noProof/>
              </w:rPr>
              <w:t xml:space="preserve"> on the role of the practitioner, which is broadly ventilated in this article, can form the base for an article on this specific subject which can </w:t>
            </w:r>
            <w:r w:rsidRPr="00776C45">
              <w:rPr>
                <w:noProof/>
              </w:rPr>
              <w:t>cont</w:t>
            </w:r>
            <w:r>
              <w:rPr>
                <w:noProof/>
              </w:rPr>
              <w:t>r</w:t>
            </w:r>
            <w:r w:rsidRPr="00776C45">
              <w:rPr>
                <w:noProof/>
              </w:rPr>
              <w:t>ibute</w:t>
            </w:r>
            <w:r>
              <w:rPr>
                <w:noProof/>
              </w:rPr>
              <w:t xml:space="preserve"> to the breaking down of these wrong perceptions and </w:t>
            </w:r>
            <w:r w:rsidRPr="001C40E6">
              <w:rPr>
                <w:noProof/>
              </w:rPr>
              <w:t>belie</w:t>
            </w:r>
            <w:r>
              <w:rPr>
                <w:noProof/>
              </w:rPr>
              <w:t>f</w:t>
            </w:r>
            <w:r w:rsidRPr="001C40E6">
              <w:rPr>
                <w:noProof/>
              </w:rPr>
              <w:t>s</w:t>
            </w:r>
            <w:r>
              <w:rPr>
                <w:noProof/>
              </w:rPr>
              <w:t>.</w:t>
            </w:r>
          </w:p>
        </w:tc>
        <w:tc>
          <w:tcPr>
            <w:tcW w:w="851" w:type="dxa"/>
          </w:tcPr>
          <w:p w:rsidR="002000AE" w:rsidRPr="00E533C8" w:rsidRDefault="002000AE" w:rsidP="00764583">
            <w:pPr>
              <w:rPr>
                <w:rFonts w:ascii="Arial" w:hAnsi="Arial" w:cs="Arial"/>
                <w:sz w:val="24"/>
                <w:szCs w:val="24"/>
              </w:rPr>
            </w:pPr>
          </w:p>
        </w:tc>
        <w:tc>
          <w:tcPr>
            <w:tcW w:w="850" w:type="dxa"/>
          </w:tcPr>
          <w:p w:rsidR="002000AE" w:rsidRPr="00E533C8" w:rsidRDefault="002000AE" w:rsidP="00764583">
            <w:pPr>
              <w:rPr>
                <w:rFonts w:ascii="Arial" w:hAnsi="Arial" w:cs="Arial"/>
                <w:sz w:val="24"/>
                <w:szCs w:val="24"/>
              </w:rPr>
            </w:pPr>
          </w:p>
        </w:tc>
        <w:tc>
          <w:tcPr>
            <w:tcW w:w="851" w:type="dxa"/>
          </w:tcPr>
          <w:p w:rsidR="002000AE" w:rsidRPr="00E533C8" w:rsidRDefault="002000AE" w:rsidP="00764583">
            <w:pPr>
              <w:rPr>
                <w:rFonts w:ascii="Arial" w:hAnsi="Arial" w:cs="Arial"/>
                <w:sz w:val="24"/>
                <w:szCs w:val="24"/>
              </w:rPr>
            </w:pPr>
          </w:p>
        </w:tc>
        <w:tc>
          <w:tcPr>
            <w:tcW w:w="5684" w:type="dxa"/>
          </w:tcPr>
          <w:p w:rsidR="002000AE" w:rsidRDefault="00396014" w:rsidP="00764583">
            <w:pPr>
              <w:rPr>
                <w:rFonts w:ascii="Arial" w:hAnsi="Arial" w:cs="Arial"/>
                <w:sz w:val="24"/>
                <w:szCs w:val="24"/>
              </w:rPr>
            </w:pPr>
            <w:r>
              <w:rPr>
                <w:rFonts w:ascii="Arial" w:hAnsi="Arial" w:cs="Arial"/>
                <w:sz w:val="24"/>
                <w:szCs w:val="24"/>
              </w:rPr>
              <w:t>The described relationship</w:t>
            </w:r>
            <w:r w:rsidR="0084194F">
              <w:rPr>
                <w:rFonts w:ascii="Arial" w:hAnsi="Arial" w:cs="Arial"/>
                <w:sz w:val="24"/>
                <w:szCs w:val="24"/>
              </w:rPr>
              <w:t>s</w:t>
            </w:r>
            <w:r>
              <w:rPr>
                <w:rFonts w:ascii="Arial" w:hAnsi="Arial" w:cs="Arial"/>
                <w:sz w:val="24"/>
                <w:szCs w:val="24"/>
              </w:rPr>
              <w:t xml:space="preserve"> are exactly those of the affected parties within the relationships created as a result of BR. </w:t>
            </w:r>
          </w:p>
          <w:p w:rsidR="0084194F" w:rsidRPr="00E533C8" w:rsidRDefault="0084194F" w:rsidP="00764583">
            <w:pPr>
              <w:rPr>
                <w:rFonts w:ascii="Arial" w:hAnsi="Arial" w:cs="Arial"/>
                <w:sz w:val="24"/>
                <w:szCs w:val="24"/>
              </w:rPr>
            </w:pPr>
          </w:p>
        </w:tc>
      </w:tr>
    </w:tbl>
    <w:p w:rsidR="002000AE" w:rsidRDefault="002000AE" w:rsidP="002000AE"/>
    <w:p w:rsidR="008A619C" w:rsidRDefault="008A619C"/>
    <w:sectPr w:rsidR="008A619C" w:rsidSect="00E533C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60914"/>
    <w:multiLevelType w:val="hybridMultilevel"/>
    <w:tmpl w:val="27E4CB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B7460A9"/>
    <w:multiLevelType w:val="hybridMultilevel"/>
    <w:tmpl w:val="F2426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0AE"/>
    <w:rsid w:val="0001397E"/>
    <w:rsid w:val="001A19D3"/>
    <w:rsid w:val="002000AE"/>
    <w:rsid w:val="002947B5"/>
    <w:rsid w:val="00396014"/>
    <w:rsid w:val="00457D76"/>
    <w:rsid w:val="0048092B"/>
    <w:rsid w:val="005449D1"/>
    <w:rsid w:val="0056341B"/>
    <w:rsid w:val="007A2DBD"/>
    <w:rsid w:val="0084194F"/>
    <w:rsid w:val="00886A6B"/>
    <w:rsid w:val="008A619C"/>
    <w:rsid w:val="00947B94"/>
    <w:rsid w:val="00B0287C"/>
    <w:rsid w:val="00BA70F6"/>
    <w:rsid w:val="00FA1C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0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0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00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0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0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0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AC Janse van Rensburg</dc:creator>
  <cp:lastModifiedBy>User</cp:lastModifiedBy>
  <cp:revision>2</cp:revision>
  <dcterms:created xsi:type="dcterms:W3CDTF">2016-04-22T07:02:00Z</dcterms:created>
  <dcterms:modified xsi:type="dcterms:W3CDTF">2016-04-22T07:02:00Z</dcterms:modified>
</cp:coreProperties>
</file>