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4F9E8" w14:textId="3BB9FFEA" w:rsidR="000B5F8F" w:rsidRDefault="000B5F8F" w:rsidP="000B5F8F">
      <w:pPr>
        <w:rPr>
          <w:b/>
          <w:sz w:val="24"/>
          <w:szCs w:val="24"/>
        </w:rPr>
      </w:pPr>
      <w:r>
        <w:rPr>
          <w:b/>
          <w:sz w:val="24"/>
          <w:szCs w:val="24"/>
        </w:rPr>
        <w:t xml:space="preserve">The economic </w:t>
      </w:r>
      <w:r w:rsidR="002525AB">
        <w:rPr>
          <w:b/>
          <w:sz w:val="24"/>
          <w:szCs w:val="24"/>
        </w:rPr>
        <w:t xml:space="preserve">and environmental </w:t>
      </w:r>
      <w:r>
        <w:rPr>
          <w:b/>
          <w:sz w:val="24"/>
          <w:szCs w:val="24"/>
        </w:rPr>
        <w:t>effects of a carbon tax in South Africa: a dynamic CGE modelling approach</w:t>
      </w:r>
    </w:p>
    <w:p w14:paraId="0EC4CFF8" w14:textId="77777777" w:rsidR="004874BF" w:rsidRDefault="007010F7" w:rsidP="009864A3">
      <w:pPr>
        <w:pStyle w:val="Heading1"/>
        <w:spacing w:after="240"/>
      </w:pPr>
      <w:bookmarkStart w:id="0" w:name="_Toc395272692"/>
      <w:r>
        <w:t>Abstract</w:t>
      </w:r>
    </w:p>
    <w:p w14:paraId="2F6B1F8E" w14:textId="060785D7" w:rsidR="006670CE" w:rsidRPr="00F0246E" w:rsidRDefault="006670CE" w:rsidP="006670CE">
      <w:pPr>
        <w:spacing w:after="0" w:line="360" w:lineRule="auto"/>
      </w:pPr>
      <w:r>
        <w:t xml:space="preserve">South Africa’s National Treasury released its Carbon Tax Policy Paper in May 2013 which proposed a </w:t>
      </w:r>
      <w:r w:rsidRPr="00F0246E">
        <w:t>R120/tCO</w:t>
      </w:r>
      <w:r w:rsidRPr="00F0246E">
        <w:rPr>
          <w:vertAlign w:val="subscript"/>
        </w:rPr>
        <w:t>2</w:t>
      </w:r>
      <w:r w:rsidRPr="00F0246E">
        <w:t>-equiv. levy on coal, gas and petroleum fuels.  Here we model the possible impacts of such a tax on the South African economy using the Department of Economics, University of Pretoria’s dynamic computable general equilibrium (CGE) 53 sector model.  The model shows that the carbon tax has the capacity to decrease South Africa’s Greenhouse Gas emissions by between 1,900MtCO</w:t>
      </w:r>
      <w:r w:rsidRPr="00F0246E">
        <w:rPr>
          <w:vertAlign w:val="subscript"/>
        </w:rPr>
        <w:t>2</w:t>
      </w:r>
      <w:r w:rsidRPr="00F0246E">
        <w:t>-equiv. and 2,300MtCO</w:t>
      </w:r>
      <w:r w:rsidRPr="00F0246E">
        <w:rPr>
          <w:vertAlign w:val="subscript"/>
        </w:rPr>
        <w:t>2</w:t>
      </w:r>
      <w:r w:rsidRPr="00F0246E">
        <w:t xml:space="preserve">-equiv. between 2016 and 2035.  The extent of emissions reductions is most sensitive to the rate at which tax exemptions are removed.  Recycling of carbon tax revenue reduces the extent of emissions reductions due to the fact that economic growth is supported.  The manner in which carbon tax revenue is recycled back into the economy is therefore </w:t>
      </w:r>
      <w:r w:rsidR="006C5DB4">
        <w:t>important</w:t>
      </w:r>
      <w:r w:rsidRPr="00F0246E">
        <w:t xml:space="preserve"> in terms of the extent of emissions reductions achieved, but not as significant as the influence of different exemption schedules. </w:t>
      </w:r>
      <w:r w:rsidR="006C5DB4">
        <w:t xml:space="preserve"> </w:t>
      </w:r>
      <w:r w:rsidRPr="00F0246E">
        <w:t xml:space="preserve">The model shows the carbon tax to have a net negative impact on South Africa’s GDP relative to the baseline under all exemption regimes and all revenue recycling options assessed.  The negative impact of the carbon tax on GDP is, however, greatly reduced </w:t>
      </w:r>
      <w:r w:rsidR="006C5DB4">
        <w:t xml:space="preserve">by </w:t>
      </w:r>
      <w:r w:rsidRPr="00F0246E">
        <w:t>the manner in which the tax revenue is recycled.  Recycling in the form of a production subsidy for all industries results in the lowest negative impact on GDP</w:t>
      </w:r>
      <w:r w:rsidR="006C5DB4">
        <w:t xml:space="preserve">. This </w:t>
      </w:r>
      <w:r w:rsidRPr="00F0246E">
        <w:t>suggest</w:t>
      </w:r>
      <w:r w:rsidR="006C5DB4">
        <w:t>s</w:t>
      </w:r>
      <w:r w:rsidRPr="00F0246E">
        <w:t xml:space="preserve"> that support for the economy through broad-based recycling of the tax benefits all sectors.</w:t>
      </w:r>
    </w:p>
    <w:p w14:paraId="3BA668D9" w14:textId="77777777" w:rsidR="007010F7" w:rsidRDefault="007010F7" w:rsidP="007010F7"/>
    <w:p w14:paraId="7A1113A3" w14:textId="77777777" w:rsidR="007010F7" w:rsidRPr="00B20AEF" w:rsidRDefault="007010F7" w:rsidP="007010F7">
      <w:pPr>
        <w:spacing w:line="360" w:lineRule="auto"/>
        <w:rPr>
          <w:rFonts w:ascii="Arial" w:hAnsi="Arial" w:cs="Arial"/>
          <w:b/>
        </w:rPr>
      </w:pPr>
      <w:r w:rsidRPr="00B20AEF">
        <w:rPr>
          <w:rFonts w:ascii="Arial" w:hAnsi="Arial" w:cs="Arial"/>
          <w:b/>
        </w:rPr>
        <w:t xml:space="preserve">JEL </w:t>
      </w:r>
      <w:r>
        <w:rPr>
          <w:rFonts w:ascii="Arial" w:hAnsi="Arial" w:cs="Arial"/>
          <w:b/>
        </w:rPr>
        <w:t>C</w:t>
      </w:r>
      <w:r w:rsidRPr="00B20AEF">
        <w:rPr>
          <w:rFonts w:ascii="Arial" w:hAnsi="Arial" w:cs="Arial"/>
          <w:b/>
        </w:rPr>
        <w:t>odes:</w:t>
      </w:r>
      <w:r w:rsidRPr="00EA6725">
        <w:rPr>
          <w:rFonts w:ascii="Arial" w:hAnsi="Arial" w:cs="Arial"/>
        </w:rPr>
        <w:t xml:space="preserve"> </w:t>
      </w:r>
      <w:r>
        <w:rPr>
          <w:rFonts w:ascii="Arial" w:hAnsi="Arial" w:cs="Arial"/>
        </w:rPr>
        <w:tab/>
        <w:t>C68</w:t>
      </w:r>
    </w:p>
    <w:p w14:paraId="7C2B4700" w14:textId="77777777" w:rsidR="007010F7" w:rsidRPr="00EC44B0" w:rsidRDefault="007010F7" w:rsidP="007010F7">
      <w:pPr>
        <w:spacing w:line="360" w:lineRule="auto"/>
        <w:rPr>
          <w:rFonts w:ascii="Arial" w:hAnsi="Arial" w:cs="Arial"/>
        </w:rPr>
      </w:pPr>
      <w:r w:rsidRPr="008B612B">
        <w:rPr>
          <w:rFonts w:ascii="Arial" w:hAnsi="Arial" w:cs="Arial"/>
          <w:b/>
        </w:rPr>
        <w:t>Keywords:</w:t>
      </w:r>
      <w:r w:rsidRPr="008B612B">
        <w:rPr>
          <w:rFonts w:ascii="Arial" w:hAnsi="Arial" w:cs="Arial"/>
        </w:rPr>
        <w:t xml:space="preserve"> </w:t>
      </w:r>
      <w:r>
        <w:rPr>
          <w:rFonts w:ascii="Arial" w:hAnsi="Arial" w:cs="Arial"/>
        </w:rPr>
        <w:tab/>
      </w:r>
      <w:r w:rsidRPr="008B612B">
        <w:rPr>
          <w:rFonts w:ascii="Arial" w:hAnsi="Arial" w:cs="Arial"/>
        </w:rPr>
        <w:t>Computable general equilibrium, UPG</w:t>
      </w:r>
      <w:r>
        <w:rPr>
          <w:rFonts w:ascii="Arial" w:hAnsi="Arial" w:cs="Arial"/>
        </w:rPr>
        <w:t>EM, carbon tax</w:t>
      </w:r>
    </w:p>
    <w:p w14:paraId="234FD5B2" w14:textId="77777777" w:rsidR="006C5DB4" w:rsidRDefault="006C5DB4">
      <w:pPr>
        <w:jc w:val="left"/>
      </w:pPr>
      <w:r>
        <w:br w:type="page"/>
      </w:r>
    </w:p>
    <w:p w14:paraId="25EC5197" w14:textId="77777777" w:rsidR="00A841F6" w:rsidRPr="00B3118C" w:rsidRDefault="00A841F6" w:rsidP="00A841F6">
      <w:pPr>
        <w:pStyle w:val="Heading1"/>
        <w:tabs>
          <w:tab w:val="left" w:pos="720"/>
        </w:tabs>
        <w:spacing w:after="240"/>
        <w:ind w:left="720" w:right="746"/>
        <w:rPr>
          <w:b w:val="0"/>
          <w:i/>
          <w:color w:val="auto"/>
          <w:sz w:val="22"/>
          <w:szCs w:val="22"/>
        </w:rPr>
      </w:pPr>
      <w:r w:rsidRPr="00B3118C">
        <w:rPr>
          <w:b w:val="0"/>
          <w:i/>
          <w:color w:val="auto"/>
          <w:sz w:val="22"/>
          <w:szCs w:val="22"/>
        </w:rPr>
        <w:lastRenderedPageBreak/>
        <w:t xml:space="preserve">“No one is going to win the Nobel Prize in economics for finding the solution to climate change. The economist who came up with it died a decade before the first prize was given out. Arthur C. </w:t>
      </w:r>
      <w:proofErr w:type="spellStart"/>
      <w:r w:rsidRPr="00B3118C">
        <w:rPr>
          <w:b w:val="0"/>
          <w:i/>
          <w:color w:val="auto"/>
          <w:sz w:val="22"/>
          <w:szCs w:val="22"/>
        </w:rPr>
        <w:t>Pigou</w:t>
      </w:r>
      <w:proofErr w:type="spellEnd"/>
      <w:r w:rsidRPr="00B3118C">
        <w:rPr>
          <w:b w:val="0"/>
          <w:i/>
          <w:color w:val="auto"/>
          <w:sz w:val="22"/>
          <w:szCs w:val="22"/>
        </w:rPr>
        <w:t xml:space="preserve"> identified the general problem and the solution – what’s by now known as “</w:t>
      </w:r>
      <w:proofErr w:type="spellStart"/>
      <w:r w:rsidRPr="00B3118C">
        <w:rPr>
          <w:b w:val="0"/>
          <w:i/>
          <w:color w:val="auto"/>
          <w:sz w:val="22"/>
          <w:szCs w:val="22"/>
        </w:rPr>
        <w:t>Pigouvian</w:t>
      </w:r>
      <w:proofErr w:type="spellEnd"/>
      <w:r w:rsidRPr="00B3118C">
        <w:rPr>
          <w:b w:val="0"/>
          <w:i/>
          <w:color w:val="auto"/>
          <w:sz w:val="22"/>
          <w:szCs w:val="22"/>
        </w:rPr>
        <w:t xml:space="preserve"> taxes”. The correct – the only correct – approach is to price each and every ton of carbon according to the damage it causes.</w:t>
      </w:r>
    </w:p>
    <w:p w14:paraId="7602DB67" w14:textId="77777777" w:rsidR="00A841F6" w:rsidRPr="00724498" w:rsidRDefault="00A841F6" w:rsidP="00A841F6">
      <w:r>
        <w:tab/>
      </w:r>
      <w:r>
        <w:tab/>
      </w:r>
      <w:r>
        <w:tab/>
      </w:r>
      <w:r>
        <w:tab/>
      </w:r>
      <w:r>
        <w:tab/>
      </w:r>
      <w:proofErr w:type="spellStart"/>
      <w:r>
        <w:t>Gernot</w:t>
      </w:r>
      <w:proofErr w:type="spellEnd"/>
      <w:r>
        <w:t xml:space="preserve"> Wagner &amp; Martin L. Weitzman</w:t>
      </w:r>
    </w:p>
    <w:p w14:paraId="48C5C988" w14:textId="77777777" w:rsidR="007010F7" w:rsidRPr="007010F7" w:rsidRDefault="007010F7" w:rsidP="007010F7"/>
    <w:p w14:paraId="66D14543" w14:textId="77777777" w:rsidR="009864A3" w:rsidRPr="00083055" w:rsidRDefault="009864A3" w:rsidP="004874BF">
      <w:pPr>
        <w:pStyle w:val="Heading1"/>
        <w:numPr>
          <w:ilvl w:val="0"/>
          <w:numId w:val="24"/>
        </w:numPr>
        <w:spacing w:after="240"/>
      </w:pPr>
      <w:r>
        <w:t>Introduction</w:t>
      </w:r>
      <w:bookmarkEnd w:id="0"/>
    </w:p>
    <w:p w14:paraId="18BB7487" w14:textId="77777777" w:rsidR="00A841F6" w:rsidRDefault="009864A3" w:rsidP="00A841F6">
      <w:pPr>
        <w:pStyle w:val="ListParagraph"/>
        <w:spacing w:line="360" w:lineRule="auto"/>
        <w:ind w:left="0"/>
        <w:jc w:val="both"/>
        <w:rPr>
          <w:sz w:val="22"/>
          <w:szCs w:val="22"/>
        </w:rPr>
      </w:pPr>
      <w:r>
        <w:rPr>
          <w:sz w:val="22"/>
          <w:szCs w:val="22"/>
        </w:rPr>
        <w:t>South Africa’s National Treasury released a Carbon Tax Policy Paper for public comment in May 2013 (National Treasury 2013).  The paper, an update of a discussion paper released in December 2010, describes in detail one of South Africa’s efforts to respond to anthropogenic climate change and transition to a green economy.</w:t>
      </w:r>
      <w:r w:rsidR="00A841F6">
        <w:rPr>
          <w:sz w:val="22"/>
          <w:szCs w:val="22"/>
        </w:rPr>
        <w:t xml:space="preserve"> In December 2015, National Treasury published the Draft Carbon Tax Bill which represents one of the final steps before implementation of the tax. In this paper, we aim to estimate the economy-wide effects of the carbon tax, as described in National Treasury (2013; 2015).</w:t>
      </w:r>
    </w:p>
    <w:p w14:paraId="055B19E6" w14:textId="32A2559F" w:rsidR="009864A3" w:rsidRDefault="009864A3" w:rsidP="00060C3E">
      <w:pPr>
        <w:pStyle w:val="ListParagraph"/>
        <w:spacing w:line="360" w:lineRule="auto"/>
        <w:ind w:left="0"/>
        <w:jc w:val="both"/>
        <w:rPr>
          <w:sz w:val="22"/>
          <w:szCs w:val="22"/>
        </w:rPr>
      </w:pPr>
    </w:p>
    <w:p w14:paraId="12FD3804" w14:textId="77777777" w:rsidR="009864A3" w:rsidRDefault="009864A3" w:rsidP="009864A3">
      <w:pPr>
        <w:pStyle w:val="ListParagraph"/>
        <w:spacing w:line="276" w:lineRule="auto"/>
        <w:ind w:left="0"/>
        <w:jc w:val="both"/>
        <w:rPr>
          <w:sz w:val="22"/>
          <w:szCs w:val="22"/>
        </w:rPr>
      </w:pPr>
    </w:p>
    <w:p w14:paraId="175AB26B" w14:textId="4247C171" w:rsidR="000B5F8F" w:rsidRPr="00441ED4" w:rsidRDefault="000B5F8F" w:rsidP="00060C3E">
      <w:pPr>
        <w:spacing w:line="360" w:lineRule="auto"/>
        <w:rPr>
          <w:rFonts w:cstheme="minorHAnsi"/>
        </w:rPr>
      </w:pPr>
      <w:r w:rsidRPr="00441ED4">
        <w:rPr>
          <w:rFonts w:cstheme="minorHAnsi"/>
          <w:lang w:val="en-GB"/>
        </w:rPr>
        <w:t xml:space="preserve">The carbon tax aims to change the behaviour of firms, incentivising them to shift towards cleaner technology when replacing/renewing machinery, technology or processes. </w:t>
      </w:r>
      <w:r w:rsidR="00A841F6">
        <w:rPr>
          <w:rFonts w:cstheme="minorHAnsi"/>
          <w:lang w:val="en-GB"/>
        </w:rPr>
        <w:t xml:space="preserve">The carbon tax will bring the price of carbon closer to its true social cost. This </w:t>
      </w:r>
      <w:proofErr w:type="spellStart"/>
      <w:r w:rsidR="00A841F6">
        <w:rPr>
          <w:rFonts w:cstheme="minorHAnsi"/>
          <w:lang w:val="en-GB"/>
        </w:rPr>
        <w:t>Pigouvian</w:t>
      </w:r>
      <w:proofErr w:type="spellEnd"/>
      <w:r w:rsidR="00A841F6">
        <w:rPr>
          <w:rFonts w:cstheme="minorHAnsi"/>
          <w:lang w:val="en-GB"/>
        </w:rPr>
        <w:t xml:space="preserve"> approach is widely regarded by economists as the correct way to address the externality problem (Stern, 2008; Wagner </w:t>
      </w:r>
      <w:r w:rsidR="00A841F6" w:rsidRPr="00B3118C">
        <w:rPr>
          <w:rFonts w:cstheme="minorHAnsi"/>
          <w:i/>
          <w:lang w:val="en-GB"/>
        </w:rPr>
        <w:t>et al</w:t>
      </w:r>
      <w:r w:rsidR="00A841F6">
        <w:rPr>
          <w:rFonts w:cstheme="minorHAnsi"/>
          <w:lang w:val="en-GB"/>
        </w:rPr>
        <w:t xml:space="preserve">. 2015).  </w:t>
      </w:r>
      <w:r w:rsidRPr="00441ED4">
        <w:rPr>
          <w:rFonts w:cstheme="minorHAnsi"/>
        </w:rPr>
        <w:t xml:space="preserve">To ensure that South Africa transitions to a low carbon, climate resilient economy in a cost effective and economically efficient manner, it is important that the objectives of inclusive economic growth, poverty alleviation, job creation and the lowering of our </w:t>
      </w:r>
      <w:r>
        <w:rPr>
          <w:rFonts w:cstheme="minorHAnsi"/>
        </w:rPr>
        <w:t>Green House Gas</w:t>
      </w:r>
      <w:r w:rsidR="007010F7">
        <w:rPr>
          <w:rFonts w:cstheme="minorHAnsi"/>
        </w:rPr>
        <w:t xml:space="preserve"> </w:t>
      </w:r>
      <w:r>
        <w:rPr>
          <w:rFonts w:cstheme="minorHAnsi"/>
        </w:rPr>
        <w:t>(</w:t>
      </w:r>
      <w:r w:rsidRPr="00441ED4">
        <w:rPr>
          <w:rFonts w:cstheme="minorHAnsi"/>
        </w:rPr>
        <w:t>GHG</w:t>
      </w:r>
      <w:r>
        <w:rPr>
          <w:rFonts w:cstheme="minorHAnsi"/>
        </w:rPr>
        <w:t>)</w:t>
      </w:r>
      <w:r w:rsidRPr="00441ED4">
        <w:rPr>
          <w:rFonts w:cstheme="minorHAnsi"/>
        </w:rPr>
        <w:t xml:space="preserve"> emissions are appropriately balanced and the trade-offs effectively managed.  Hence, given the developmental challenges that South Africa has to deal with and the internationally accepted common but differentiated responsibilities and respective capabilities principle (CBDR-RC) that requires more developed countries to make a greater effort to reduce global GHG emissions, South Africa’s carbon tax </w:t>
      </w:r>
      <w:r w:rsidR="009864A3">
        <w:rPr>
          <w:rFonts w:cstheme="minorHAnsi"/>
        </w:rPr>
        <w:t>should</w:t>
      </w:r>
      <w:r w:rsidRPr="00441ED4">
        <w:rPr>
          <w:rFonts w:cstheme="minorHAnsi"/>
        </w:rPr>
        <w:t xml:space="preserve"> be gradually phased-in.</w:t>
      </w:r>
    </w:p>
    <w:p w14:paraId="4F3B9E9C" w14:textId="182699E7" w:rsidR="00A841F6" w:rsidRDefault="000B5F8F" w:rsidP="00A841F6">
      <w:pPr>
        <w:spacing w:line="360" w:lineRule="auto"/>
        <w:rPr>
          <w:rFonts w:cstheme="minorHAnsi"/>
        </w:rPr>
      </w:pPr>
      <w:r w:rsidRPr="00441ED4">
        <w:rPr>
          <w:rFonts w:cstheme="minorHAnsi"/>
        </w:rPr>
        <w:t>Various economic modelling</w:t>
      </w:r>
      <w:r>
        <w:rPr>
          <w:rFonts w:cstheme="minorHAnsi"/>
        </w:rPr>
        <w:t xml:space="preserve"> techniques</w:t>
      </w:r>
      <w:r w:rsidRPr="00441ED4">
        <w:rPr>
          <w:rFonts w:cstheme="minorHAnsi"/>
        </w:rPr>
        <w:t xml:space="preserve"> to estimate the impact of a carbon tax were previously undertaken</w:t>
      </w:r>
      <w:r w:rsidR="007010F7">
        <w:rPr>
          <w:rFonts w:cstheme="minorHAnsi"/>
        </w:rPr>
        <w:t xml:space="preserve"> (</w:t>
      </w:r>
      <w:r w:rsidR="007010F7">
        <w:t xml:space="preserve">Van </w:t>
      </w:r>
      <w:proofErr w:type="spellStart"/>
      <w:r w:rsidR="007010F7">
        <w:t>Heerden</w:t>
      </w:r>
      <w:proofErr w:type="spellEnd"/>
      <w:r w:rsidR="007010F7">
        <w:t xml:space="preserve"> </w:t>
      </w:r>
      <w:r w:rsidR="007010F7">
        <w:rPr>
          <w:i/>
        </w:rPr>
        <w:t>et al.</w:t>
      </w:r>
      <w:r w:rsidR="007010F7">
        <w:t xml:space="preserve"> 2006, Pauw 2007, Kearney 2008, </w:t>
      </w:r>
      <w:proofErr w:type="spellStart"/>
      <w:r w:rsidR="007010F7">
        <w:t>Devarajan</w:t>
      </w:r>
      <w:proofErr w:type="spellEnd"/>
      <w:r w:rsidR="007010F7">
        <w:t xml:space="preserve"> </w:t>
      </w:r>
      <w:r w:rsidR="007010F7">
        <w:rPr>
          <w:i/>
        </w:rPr>
        <w:t>et al.</w:t>
      </w:r>
      <w:r w:rsidR="007010F7">
        <w:t xml:space="preserve"> 2009, </w:t>
      </w:r>
      <w:proofErr w:type="gramStart"/>
      <w:r w:rsidR="007010F7">
        <w:t>Alton</w:t>
      </w:r>
      <w:proofErr w:type="gramEnd"/>
      <w:r w:rsidR="007010F7">
        <w:t xml:space="preserve"> </w:t>
      </w:r>
      <w:r w:rsidR="007010F7">
        <w:rPr>
          <w:i/>
        </w:rPr>
        <w:t>et al.</w:t>
      </w:r>
      <w:r w:rsidR="007010F7">
        <w:t xml:space="preserve"> 2012</w:t>
      </w:r>
      <w:r w:rsidR="007010F7">
        <w:rPr>
          <w:rFonts w:cstheme="minorHAnsi"/>
        </w:rPr>
        <w:t>)</w:t>
      </w:r>
      <w:r w:rsidRPr="00441ED4">
        <w:rPr>
          <w:rFonts w:cstheme="minorHAnsi"/>
        </w:rPr>
        <w:t xml:space="preserve">. </w:t>
      </w:r>
      <w:r w:rsidR="00A841F6">
        <w:rPr>
          <w:rFonts w:cstheme="minorHAnsi"/>
        </w:rPr>
        <w:t xml:space="preserve">The first key paper is Van </w:t>
      </w:r>
      <w:proofErr w:type="spellStart"/>
      <w:r w:rsidR="00A841F6">
        <w:rPr>
          <w:rFonts w:cstheme="minorHAnsi"/>
        </w:rPr>
        <w:t>Heerden</w:t>
      </w:r>
      <w:proofErr w:type="spellEnd"/>
      <w:r w:rsidR="00A841F6">
        <w:rPr>
          <w:rFonts w:cstheme="minorHAnsi"/>
        </w:rPr>
        <w:t xml:space="preserve"> </w:t>
      </w:r>
      <w:r w:rsidR="00A841F6" w:rsidRPr="00335874">
        <w:rPr>
          <w:rFonts w:cstheme="minorHAnsi"/>
          <w:i/>
        </w:rPr>
        <w:t>et al</w:t>
      </w:r>
      <w:r w:rsidR="00A841F6">
        <w:rPr>
          <w:rFonts w:cstheme="minorHAnsi"/>
        </w:rPr>
        <w:t xml:space="preserve">. (2006), in which a triple dividend was found if environmental taxes are recycled through a reduction in food prices. This landmark study used a comparative-static CGE model of South Africa, which would later come to be known as the University </w:t>
      </w:r>
      <w:proofErr w:type="gramStart"/>
      <w:r w:rsidR="00A841F6">
        <w:rPr>
          <w:rFonts w:cstheme="minorHAnsi"/>
        </w:rPr>
        <w:t>of</w:t>
      </w:r>
      <w:proofErr w:type="gramEnd"/>
      <w:r w:rsidR="00A841F6">
        <w:rPr>
          <w:rFonts w:cstheme="minorHAnsi"/>
        </w:rPr>
        <w:t xml:space="preserve"> Pretoria General Equil</w:t>
      </w:r>
      <w:r w:rsidR="00324F0E">
        <w:rPr>
          <w:rFonts w:cstheme="minorHAnsi"/>
        </w:rPr>
        <w:t>i</w:t>
      </w:r>
      <w:r w:rsidR="00A841F6">
        <w:rPr>
          <w:rFonts w:cstheme="minorHAnsi"/>
        </w:rPr>
        <w:t xml:space="preserve">brium Model (UPGEM). The second key paper is Alton </w:t>
      </w:r>
      <w:r w:rsidR="00A841F6" w:rsidRPr="00335874">
        <w:rPr>
          <w:rFonts w:cstheme="minorHAnsi"/>
          <w:i/>
        </w:rPr>
        <w:t>et al</w:t>
      </w:r>
      <w:r w:rsidR="00A841F6">
        <w:rPr>
          <w:rFonts w:cstheme="minorHAnsi"/>
        </w:rPr>
        <w:t xml:space="preserve">. (2014). In this paper, the authors use a dynamic CGE model </w:t>
      </w:r>
      <w:r w:rsidR="00A841F6">
        <w:rPr>
          <w:rFonts w:cstheme="minorHAnsi"/>
        </w:rPr>
        <w:lastRenderedPageBreak/>
        <w:t>to evaluate the introduction of a carbon tax in South Africa that would achieve national emissions reductions targets set for 2025. The authors’ main findings highlight the sensitivity of the mode for recycling carbon tax revenues to distributional outcomes, and that the tax alone, ignoring all potential benefits, reduces national welfare by only a small margin.</w:t>
      </w:r>
    </w:p>
    <w:p w14:paraId="0D7B78DC" w14:textId="21F68FEE" w:rsidR="009864A3" w:rsidRDefault="00A841F6" w:rsidP="00060C3E">
      <w:pPr>
        <w:spacing w:line="360" w:lineRule="auto"/>
        <w:rPr>
          <w:rFonts w:cstheme="minorHAnsi"/>
          <w:lang w:val="en-GB"/>
        </w:rPr>
      </w:pPr>
      <w:r>
        <w:rPr>
          <w:rFonts w:cstheme="minorHAnsi"/>
        </w:rPr>
        <w:t xml:space="preserve">In our paper, we improve on the CGE approach used in Van </w:t>
      </w:r>
      <w:proofErr w:type="spellStart"/>
      <w:r>
        <w:rPr>
          <w:rFonts w:cstheme="minorHAnsi"/>
        </w:rPr>
        <w:t>Heerden</w:t>
      </w:r>
      <w:proofErr w:type="spellEnd"/>
      <w:r>
        <w:rPr>
          <w:rFonts w:cstheme="minorHAnsi"/>
        </w:rPr>
        <w:t xml:space="preserve"> </w:t>
      </w:r>
      <w:r w:rsidRPr="00F6793B">
        <w:rPr>
          <w:rFonts w:cstheme="minorHAnsi"/>
          <w:i/>
        </w:rPr>
        <w:t>et al</w:t>
      </w:r>
      <w:r>
        <w:rPr>
          <w:rFonts w:cstheme="minorHAnsi"/>
        </w:rPr>
        <w:t xml:space="preserve">. (2006) by using an updated and dynamic version of UPGEM with a detailed electricity generation mechanism. We also further the analysis in Alton </w:t>
      </w:r>
      <w:r w:rsidRPr="00F6793B">
        <w:rPr>
          <w:rFonts w:cstheme="minorHAnsi"/>
          <w:i/>
        </w:rPr>
        <w:t>et al</w:t>
      </w:r>
      <w:r>
        <w:rPr>
          <w:rFonts w:cstheme="minorHAnsi"/>
        </w:rPr>
        <w:t xml:space="preserve">. (2014) by basing our policy simulations on the announced carbon tax rates and exemptions schedule. </w:t>
      </w:r>
      <w:r w:rsidRPr="003E2256">
        <w:rPr>
          <w:rFonts w:cstheme="minorHAnsi"/>
        </w:rPr>
        <w:t xml:space="preserve"> </w:t>
      </w:r>
      <w:r>
        <w:rPr>
          <w:rFonts w:cstheme="minorHAnsi"/>
        </w:rPr>
        <w:t>In general, our analysis supports the main findings in the two aforementioned papers. Our</w:t>
      </w:r>
      <w:r w:rsidR="000B5F8F">
        <w:rPr>
          <w:rFonts w:cstheme="minorHAnsi"/>
        </w:rPr>
        <w:t xml:space="preserve"> </w:t>
      </w:r>
      <w:r w:rsidR="000B5F8F" w:rsidRPr="00441ED4">
        <w:rPr>
          <w:rFonts w:cstheme="minorHAnsi"/>
          <w:lang w:val="en-GB"/>
        </w:rPr>
        <w:t>modelling</w:t>
      </w:r>
      <w:r w:rsidR="000B5F8F">
        <w:rPr>
          <w:rFonts w:cstheme="minorHAnsi"/>
          <w:lang w:val="en-GB"/>
        </w:rPr>
        <w:t xml:space="preserve"> results suggest </w:t>
      </w:r>
      <w:r w:rsidR="000B5F8F" w:rsidRPr="00441ED4">
        <w:rPr>
          <w:rFonts w:cstheme="minorHAnsi"/>
          <w:lang w:val="en-GB"/>
        </w:rPr>
        <w:t>that a carbon tax with broad sector coverage implemented gradually and complemented by effective and efficient revenue recycling will contribute towards significant GHG emission reductions, and have only a marginal</w:t>
      </w:r>
      <w:r w:rsidR="00060C3E">
        <w:rPr>
          <w:rFonts w:cstheme="minorHAnsi"/>
          <w:lang w:val="en-GB"/>
        </w:rPr>
        <w:t>ly</w:t>
      </w:r>
      <w:r w:rsidR="000B5F8F" w:rsidRPr="00441ED4">
        <w:rPr>
          <w:rFonts w:cstheme="minorHAnsi"/>
          <w:lang w:val="en-GB"/>
        </w:rPr>
        <w:t xml:space="preserve"> negative impact on economic growth over the short-term. Over medium to long term, the carbon tax will support the transition to a more sustainable low carbon economy and green jobs. </w:t>
      </w:r>
    </w:p>
    <w:p w14:paraId="54D8360F" w14:textId="77777777" w:rsidR="004874BF" w:rsidRDefault="004874BF" w:rsidP="004874BF">
      <w:pPr>
        <w:pStyle w:val="Heading1"/>
        <w:numPr>
          <w:ilvl w:val="0"/>
          <w:numId w:val="24"/>
        </w:numPr>
        <w:rPr>
          <w:rFonts w:eastAsia="Times New Roman"/>
        </w:rPr>
      </w:pPr>
      <w:r>
        <w:rPr>
          <w:rFonts w:eastAsia="Times New Roman"/>
        </w:rPr>
        <w:t>Methodology and Database</w:t>
      </w:r>
    </w:p>
    <w:p w14:paraId="059EC8C0" w14:textId="77777777" w:rsidR="004874BF" w:rsidRPr="004874BF" w:rsidRDefault="004874BF" w:rsidP="004874BF"/>
    <w:p w14:paraId="3788256C" w14:textId="188D4D68" w:rsidR="004874BF" w:rsidRPr="004874BF" w:rsidRDefault="004874BF" w:rsidP="00060C3E">
      <w:pPr>
        <w:spacing w:line="360" w:lineRule="auto"/>
        <w:rPr>
          <w:rFonts w:ascii="Calibri" w:hAnsi="Calibri" w:cs="Calibri"/>
        </w:rPr>
      </w:pPr>
      <w:r w:rsidRPr="004874BF">
        <w:rPr>
          <w:rFonts w:ascii="Calibri" w:hAnsi="Calibri" w:cs="Calibri"/>
        </w:rPr>
        <w:t xml:space="preserve">We use a modified version of the University </w:t>
      </w:r>
      <w:proofErr w:type="gramStart"/>
      <w:r w:rsidRPr="004874BF">
        <w:rPr>
          <w:rFonts w:ascii="Calibri" w:hAnsi="Calibri" w:cs="Calibri"/>
        </w:rPr>
        <w:t>of</w:t>
      </w:r>
      <w:proofErr w:type="gramEnd"/>
      <w:r w:rsidRPr="004874BF">
        <w:rPr>
          <w:rFonts w:ascii="Calibri" w:hAnsi="Calibri" w:cs="Calibri"/>
        </w:rPr>
        <w:t xml:space="preserve"> Pretoria General Equilibrium Model (UPGEM) to conduct our analysis of the South African carbon tax. UPGEM is a dynamic computable general equilibrium (CGE) model of South Africa, developed by staff at the University of Pretoria in collaboration with the Centre of Policy Studies (</w:t>
      </w:r>
      <w:proofErr w:type="spellStart"/>
      <w:r w:rsidRPr="004874BF">
        <w:rPr>
          <w:rFonts w:ascii="Calibri" w:hAnsi="Calibri" w:cs="Calibri"/>
        </w:rPr>
        <w:t>CoPS</w:t>
      </w:r>
      <w:proofErr w:type="spellEnd"/>
      <w:r w:rsidRPr="004874BF">
        <w:rPr>
          <w:rFonts w:ascii="Calibri" w:hAnsi="Calibri" w:cs="Calibri"/>
        </w:rPr>
        <w:t xml:space="preserve">) in Melbourne, Australia. UPGEM has been used in a variety studies over the last decade, including Van </w:t>
      </w:r>
      <w:proofErr w:type="spellStart"/>
      <w:r w:rsidRPr="004874BF">
        <w:rPr>
          <w:rFonts w:ascii="Calibri" w:hAnsi="Calibri" w:cs="Calibri"/>
        </w:rPr>
        <w:t>Heerden</w:t>
      </w:r>
      <w:proofErr w:type="spellEnd"/>
      <w:r w:rsidRPr="004874BF">
        <w:rPr>
          <w:rFonts w:ascii="Calibri" w:hAnsi="Calibri" w:cs="Calibri"/>
        </w:rPr>
        <w:t xml:space="preserve"> </w:t>
      </w:r>
      <w:r w:rsidRPr="00335874">
        <w:rPr>
          <w:rFonts w:ascii="Calibri" w:hAnsi="Calibri" w:cs="Calibri"/>
          <w:i/>
        </w:rPr>
        <w:t>et al.</w:t>
      </w:r>
      <w:r w:rsidRPr="004874BF">
        <w:rPr>
          <w:rFonts w:ascii="Calibri" w:hAnsi="Calibri" w:cs="Calibri"/>
        </w:rPr>
        <w:t xml:space="preserve"> (2006) and </w:t>
      </w:r>
      <w:proofErr w:type="spellStart"/>
      <w:r w:rsidRPr="004874BF">
        <w:rPr>
          <w:rFonts w:ascii="Calibri" w:hAnsi="Calibri" w:cs="Calibri"/>
        </w:rPr>
        <w:t>Bohlmann</w:t>
      </w:r>
      <w:proofErr w:type="spellEnd"/>
      <w:r w:rsidRPr="004874BF">
        <w:rPr>
          <w:rFonts w:ascii="Calibri" w:hAnsi="Calibri" w:cs="Calibri"/>
        </w:rPr>
        <w:t xml:space="preserve"> </w:t>
      </w:r>
      <w:r w:rsidRPr="00335874">
        <w:rPr>
          <w:rFonts w:ascii="Calibri" w:hAnsi="Calibri" w:cs="Calibri"/>
          <w:i/>
        </w:rPr>
        <w:t>et al</w:t>
      </w:r>
      <w:r w:rsidRPr="004874BF">
        <w:rPr>
          <w:rFonts w:ascii="Calibri" w:hAnsi="Calibri" w:cs="Calibri"/>
        </w:rPr>
        <w:t xml:space="preserve">. (2015). The theoretical structure of UPGEM is similar to the MONASH model developed by </w:t>
      </w:r>
      <w:proofErr w:type="spellStart"/>
      <w:r w:rsidRPr="004874BF">
        <w:rPr>
          <w:rFonts w:ascii="Calibri" w:hAnsi="Calibri" w:cs="Calibri"/>
        </w:rPr>
        <w:t>CoPS</w:t>
      </w:r>
      <w:proofErr w:type="spellEnd"/>
      <w:r w:rsidRPr="004874BF">
        <w:rPr>
          <w:rFonts w:ascii="Calibri" w:hAnsi="Calibri" w:cs="Calibri"/>
        </w:rPr>
        <w:t xml:space="preserve"> and documented in Dixon &amp; </w:t>
      </w:r>
      <w:proofErr w:type="spellStart"/>
      <w:r w:rsidRPr="004874BF">
        <w:rPr>
          <w:rFonts w:ascii="Calibri" w:hAnsi="Calibri" w:cs="Calibri"/>
        </w:rPr>
        <w:t>Rimmer</w:t>
      </w:r>
      <w:proofErr w:type="spellEnd"/>
      <w:r w:rsidRPr="004874BF">
        <w:rPr>
          <w:rFonts w:ascii="Calibri" w:hAnsi="Calibri" w:cs="Calibri"/>
        </w:rPr>
        <w:t xml:space="preserve"> (2002; 2005) and Dixon </w:t>
      </w:r>
      <w:r w:rsidRPr="00335874">
        <w:rPr>
          <w:rFonts w:ascii="Calibri" w:hAnsi="Calibri" w:cs="Calibri"/>
          <w:i/>
        </w:rPr>
        <w:t>et al</w:t>
      </w:r>
      <w:r w:rsidRPr="004874BF">
        <w:rPr>
          <w:rFonts w:ascii="Calibri" w:hAnsi="Calibri" w:cs="Calibri"/>
        </w:rPr>
        <w:t xml:space="preserve">. (2013). The core UPGEM database is based on the 2011 supply-use (SU) tables published in </w:t>
      </w:r>
      <w:proofErr w:type="spellStart"/>
      <w:r w:rsidRPr="004874BF">
        <w:rPr>
          <w:rFonts w:ascii="Calibri" w:hAnsi="Calibri" w:cs="Calibri"/>
        </w:rPr>
        <w:t>StatsSA</w:t>
      </w:r>
      <w:proofErr w:type="spellEnd"/>
      <w:r w:rsidRPr="004874BF">
        <w:rPr>
          <w:rFonts w:ascii="Calibri" w:hAnsi="Calibri" w:cs="Calibri"/>
        </w:rPr>
        <w:t xml:space="preserve"> (2014). A stylised representation of the database is shown in </w:t>
      </w:r>
      <w:proofErr w:type="spellStart"/>
      <w:r w:rsidR="00F25972">
        <w:rPr>
          <w:rFonts w:ascii="Calibri" w:hAnsi="Calibri" w:cs="Calibri"/>
        </w:rPr>
        <w:t>Bohlmann</w:t>
      </w:r>
      <w:proofErr w:type="spellEnd"/>
      <w:r w:rsidR="00F25972">
        <w:rPr>
          <w:rFonts w:ascii="Calibri" w:hAnsi="Calibri" w:cs="Calibri"/>
        </w:rPr>
        <w:t xml:space="preserve"> </w:t>
      </w:r>
      <w:r w:rsidR="00F25972">
        <w:rPr>
          <w:rFonts w:ascii="Calibri" w:hAnsi="Calibri" w:cs="Calibri"/>
          <w:i/>
        </w:rPr>
        <w:t>et al.</w:t>
      </w:r>
      <w:r w:rsidR="00335874">
        <w:rPr>
          <w:rFonts w:ascii="Calibri" w:hAnsi="Calibri" w:cs="Calibri"/>
          <w:i/>
        </w:rPr>
        <w:t xml:space="preserve"> </w:t>
      </w:r>
      <w:r w:rsidR="00F25972">
        <w:rPr>
          <w:rFonts w:ascii="Calibri" w:hAnsi="Calibri" w:cs="Calibri"/>
        </w:rPr>
        <w:t>(201</w:t>
      </w:r>
      <w:r w:rsidR="00335874">
        <w:rPr>
          <w:rFonts w:ascii="Calibri" w:hAnsi="Calibri" w:cs="Calibri"/>
        </w:rPr>
        <w:t>5</w:t>
      </w:r>
      <w:r w:rsidR="00F25972">
        <w:rPr>
          <w:rFonts w:ascii="Calibri" w:hAnsi="Calibri" w:cs="Calibri"/>
        </w:rPr>
        <w:t xml:space="preserve">). </w:t>
      </w:r>
      <w:r w:rsidRPr="004874BF">
        <w:rPr>
          <w:rFonts w:ascii="Calibri" w:hAnsi="Calibri" w:cs="Calibri"/>
        </w:rPr>
        <w:t>. The modified version of UPGEM used in this study distinguishes 53 industries and products. It includes a more detailed treatment of the electricity sector by allowing up to eight different technologies or types of electricity generation, as illustrated by the nested production structure in Appendix B. It furthermore allows for environmental analysis by linking UPGEM to an external emissions database and adding appropriate theoretical extensions.</w:t>
      </w:r>
    </w:p>
    <w:p w14:paraId="7D10787F" w14:textId="77777777" w:rsidR="004874BF" w:rsidRPr="004874BF" w:rsidRDefault="004874BF" w:rsidP="004874BF">
      <w:pPr>
        <w:spacing w:line="360" w:lineRule="auto"/>
        <w:ind w:firstLine="567"/>
        <w:rPr>
          <w:rFonts w:ascii="Calibri" w:hAnsi="Calibri" w:cs="Calibri"/>
        </w:rPr>
      </w:pPr>
      <w:r w:rsidRPr="004874BF">
        <w:rPr>
          <w:rFonts w:ascii="Calibri" w:hAnsi="Calibri" w:cs="Calibri"/>
        </w:rPr>
        <w:t>Dynamic CGE models such as UPGEM are designed to quantify the effects of a policy change, or exogenous shock, to the economy, over a period of time. Given that the database and initial solution to the model are based on 2011 data, 2012 represents the first simulation year. In this analysis, our simulation period extends to 2035, allowing us to evaluate the effect of the carbon tax over a 20 year period (2016-</w:t>
      </w:r>
      <w:r w:rsidRPr="004874BF">
        <w:rPr>
          <w:rFonts w:ascii="Calibri" w:hAnsi="Calibri" w:cs="Calibri"/>
        </w:rPr>
        <w:lastRenderedPageBreak/>
        <w:t>2035) from when it was first imposed. A good way to examine the impacts of an exogenous shock is to compute the differences between a scenario in which the shock has occurred – the policy simulation – and a counterfactual scenario in which the particular shock under examination did not occur – the baseline scenario. Results are then reported as percentage change deviations over time between the first baseline simulation run and the second policy simulation run.</w:t>
      </w:r>
    </w:p>
    <w:p w14:paraId="7BEB9F49" w14:textId="77777777" w:rsidR="004874BF" w:rsidRPr="004874BF" w:rsidRDefault="004874BF" w:rsidP="004874BF">
      <w:pPr>
        <w:spacing w:line="360" w:lineRule="auto"/>
        <w:ind w:firstLine="567"/>
        <w:rPr>
          <w:rFonts w:ascii="Calibri" w:hAnsi="Calibri" w:cs="Calibri"/>
        </w:rPr>
      </w:pPr>
      <w:r w:rsidRPr="004874BF">
        <w:rPr>
          <w:rFonts w:ascii="Calibri" w:hAnsi="Calibri" w:cs="Calibri"/>
        </w:rPr>
        <w:t xml:space="preserve">Following the </w:t>
      </w:r>
      <w:proofErr w:type="spellStart"/>
      <w:r w:rsidRPr="004874BF">
        <w:rPr>
          <w:rFonts w:ascii="Calibri" w:hAnsi="Calibri" w:cs="Calibri"/>
        </w:rPr>
        <w:t>CoPS</w:t>
      </w:r>
      <w:proofErr w:type="spellEnd"/>
      <w:r w:rsidRPr="004874BF">
        <w:rPr>
          <w:rFonts w:ascii="Calibri" w:hAnsi="Calibri" w:cs="Calibri"/>
        </w:rPr>
        <w:t xml:space="preserve">-style of implementing a CGE model, the general equilibrium core of UPGEM is made up of a </w:t>
      </w:r>
      <w:proofErr w:type="spellStart"/>
      <w:r w:rsidRPr="004874BF">
        <w:rPr>
          <w:rFonts w:ascii="Calibri" w:hAnsi="Calibri" w:cs="Calibri"/>
        </w:rPr>
        <w:t>linearised</w:t>
      </w:r>
      <w:proofErr w:type="spellEnd"/>
      <w:r w:rsidRPr="004874BF">
        <w:rPr>
          <w:rFonts w:ascii="Calibri" w:hAnsi="Calibri" w:cs="Calibri"/>
        </w:rPr>
        <w:t xml:space="preserve"> system of equations describing the theory underlying the behaviour of participants in the economy. It contains equations describing, amongst others: i) the nature of markets; ii) intermediate demands for inputs to be used in the production of commodities; iii) final demands for goods and services by households; iv) demands for inputs to capital creation and the determination of investment; v) government demands for commodities; and vi) foreign demand for exported goods. The model is implemented and solved using the GEMPACK suite of programs described in Harrison &amp; Pearson (1996) and </w:t>
      </w:r>
      <w:proofErr w:type="spellStart"/>
      <w:r w:rsidRPr="004874BF">
        <w:rPr>
          <w:rFonts w:ascii="Calibri" w:hAnsi="Calibri" w:cs="Calibri"/>
        </w:rPr>
        <w:t>Horridge</w:t>
      </w:r>
      <w:proofErr w:type="spellEnd"/>
      <w:r w:rsidRPr="004874BF">
        <w:rPr>
          <w:rFonts w:ascii="Calibri" w:hAnsi="Calibri" w:cs="Calibri"/>
        </w:rPr>
        <w:t xml:space="preserve"> </w:t>
      </w:r>
      <w:r w:rsidRPr="00335874">
        <w:rPr>
          <w:rFonts w:ascii="Calibri" w:hAnsi="Calibri" w:cs="Calibri"/>
          <w:i/>
        </w:rPr>
        <w:t>et al</w:t>
      </w:r>
      <w:r w:rsidRPr="004874BF">
        <w:rPr>
          <w:rFonts w:ascii="Calibri" w:hAnsi="Calibri" w:cs="Calibri"/>
        </w:rPr>
        <w:t xml:space="preserve">. (2013). GEMPACK eliminates </w:t>
      </w:r>
      <w:proofErr w:type="spellStart"/>
      <w:r w:rsidRPr="004874BF">
        <w:rPr>
          <w:rFonts w:ascii="Calibri" w:hAnsi="Calibri" w:cs="Calibri"/>
        </w:rPr>
        <w:t>linearisation</w:t>
      </w:r>
      <w:proofErr w:type="spellEnd"/>
      <w:r w:rsidRPr="004874BF">
        <w:rPr>
          <w:rFonts w:ascii="Calibri" w:hAnsi="Calibri" w:cs="Calibri"/>
        </w:rPr>
        <w:t xml:space="preserve"> error by implementing shocks in a series of small steps and updating the database between steps.</w:t>
      </w:r>
    </w:p>
    <w:p w14:paraId="194ABD2A" w14:textId="5B509544" w:rsidR="004874BF" w:rsidRPr="004874BF" w:rsidRDefault="004874BF" w:rsidP="004874BF">
      <w:pPr>
        <w:spacing w:line="360" w:lineRule="auto"/>
        <w:ind w:firstLine="567"/>
        <w:rPr>
          <w:rFonts w:ascii="Calibri" w:hAnsi="Calibri" w:cs="Calibri"/>
        </w:rPr>
      </w:pPr>
      <w:r w:rsidRPr="004874BF">
        <w:rPr>
          <w:rFonts w:ascii="Calibri" w:hAnsi="Calibri" w:cs="Calibri"/>
        </w:rPr>
        <w:t>The specification of the modified UPGEM implemented in this paper includes enhancements for environmental analysis based on the MMRF model o</w:t>
      </w:r>
      <w:r w:rsidR="00335874">
        <w:rPr>
          <w:rFonts w:ascii="Calibri" w:hAnsi="Calibri" w:cs="Calibri"/>
        </w:rPr>
        <w:t>f Australia documented in Adams</w:t>
      </w:r>
      <w:r w:rsidRPr="004874BF">
        <w:rPr>
          <w:rFonts w:ascii="Calibri" w:hAnsi="Calibri" w:cs="Calibri"/>
        </w:rPr>
        <w:t xml:space="preserve"> </w:t>
      </w:r>
      <w:r w:rsidRPr="00335874">
        <w:rPr>
          <w:rFonts w:ascii="Calibri" w:hAnsi="Calibri" w:cs="Calibri"/>
          <w:i/>
        </w:rPr>
        <w:t>et</w:t>
      </w:r>
      <w:r w:rsidR="00335874">
        <w:rPr>
          <w:rFonts w:ascii="Calibri" w:hAnsi="Calibri" w:cs="Calibri"/>
          <w:i/>
        </w:rPr>
        <w:t xml:space="preserve"> </w:t>
      </w:r>
      <w:r w:rsidRPr="00335874">
        <w:rPr>
          <w:rFonts w:ascii="Calibri" w:hAnsi="Calibri" w:cs="Calibri"/>
          <w:i/>
        </w:rPr>
        <w:t>al.</w:t>
      </w:r>
      <w:r w:rsidRPr="004874BF">
        <w:rPr>
          <w:rFonts w:ascii="Calibri" w:hAnsi="Calibri" w:cs="Calibri"/>
        </w:rPr>
        <w:t xml:space="preserve"> (2014). UPGEM functions in a similar fashion with the ability to activate several add-ins when required. For MMRF, these add-ins include: i) an energy and gas emissions accounting module, which accounts explicitly for each industry recognised in the model; ii) equations that allow for inter-fuel substitution in electricity generation; and iii) mechanisms that allow for the endogenous take-up of various abatement measures in response to greenhouse gas policy measures. MMRF tracks greenhouse gas emissions at a detailed level. It breaks down emissions according to emitting agent, emitting region, and emitting activity. UPGEM follows this same strategy, but excludes the regional accounting component due to data limitations.</w:t>
      </w:r>
    </w:p>
    <w:p w14:paraId="6347C1A8" w14:textId="77777777" w:rsidR="004874BF" w:rsidRPr="004874BF" w:rsidRDefault="004874BF" w:rsidP="004874BF">
      <w:pPr>
        <w:spacing w:line="360" w:lineRule="auto"/>
        <w:ind w:firstLine="567"/>
        <w:rPr>
          <w:rFonts w:ascii="Calibri" w:hAnsi="Calibri" w:cs="Calibri"/>
        </w:rPr>
      </w:pPr>
      <w:r w:rsidRPr="004874BF">
        <w:rPr>
          <w:rFonts w:ascii="Calibri" w:hAnsi="Calibri" w:cs="Calibri"/>
        </w:rPr>
        <w:t xml:space="preserve">Emissions derived from the combustion of fuels are modelled as being directly proportional to fuel usage. No allowance is made for the type of technological innovation that would allow, for example, coal-fired electricity generators to emit less greenhouse gases per tonne of coal combusted. However, the model does allow for input-saving technological progress. For example, the coal-fired electricity generators may reduce the amount of coal burnt per kilowatt-hour of output. This sort of technological progress is typically imposed exogenously. Inter-fuel substitution in electricity generation is handled using the “technology bundle” approach from </w:t>
      </w:r>
      <w:proofErr w:type="spellStart"/>
      <w:r w:rsidRPr="004874BF">
        <w:rPr>
          <w:rFonts w:ascii="Calibri" w:hAnsi="Calibri" w:cs="Calibri"/>
        </w:rPr>
        <w:t>Hinchy</w:t>
      </w:r>
      <w:proofErr w:type="spellEnd"/>
      <w:r w:rsidRPr="004874BF">
        <w:rPr>
          <w:rFonts w:ascii="Calibri" w:hAnsi="Calibri" w:cs="Calibri"/>
        </w:rPr>
        <w:t xml:space="preserve"> &amp; </w:t>
      </w:r>
      <w:proofErr w:type="spellStart"/>
      <w:r w:rsidRPr="004874BF">
        <w:rPr>
          <w:rFonts w:ascii="Calibri" w:hAnsi="Calibri" w:cs="Calibri"/>
        </w:rPr>
        <w:t>Hanslow</w:t>
      </w:r>
      <w:proofErr w:type="spellEnd"/>
      <w:r w:rsidRPr="004874BF">
        <w:rPr>
          <w:rFonts w:ascii="Calibri" w:hAnsi="Calibri" w:cs="Calibri"/>
        </w:rPr>
        <w:t xml:space="preserve"> (1996), also used in other CGE models for energy analysis applications, such as TAIGEM</w:t>
      </w:r>
      <w:r w:rsidRPr="004874BF">
        <w:rPr>
          <w:rFonts w:ascii="Calibri" w:hAnsi="Calibri" w:cs="Calibri"/>
          <w:vertAlign w:val="superscript"/>
        </w:rPr>
        <w:footnoteReference w:id="1"/>
      </w:r>
      <w:r w:rsidRPr="004874BF">
        <w:rPr>
          <w:rFonts w:ascii="Calibri" w:hAnsi="Calibri" w:cs="Calibri"/>
        </w:rPr>
        <w:t xml:space="preserve">. Non-combustion (or activity-related) emissions are generally modelled as being directly proportional to the output of the related industries.  However, in simulating the </w:t>
      </w:r>
      <w:r w:rsidRPr="004874BF">
        <w:rPr>
          <w:rFonts w:ascii="Calibri" w:hAnsi="Calibri" w:cs="Calibri"/>
        </w:rPr>
        <w:lastRenderedPageBreak/>
        <w:t xml:space="preserve">effects of a carbon tax or some other price-related penalty on emissions, allowance can be made for abatement of non-combustion emissions.  The amount of abatement is directly related to the price of carbon. The add-ins to the core model described here have been included and activated in the modified UPGEM model’s theoretical structure.  South African specific data underlying the add-ins were then constructed from available data sources to make these components computable. </w:t>
      </w:r>
    </w:p>
    <w:p w14:paraId="52DD3C39" w14:textId="3B5EACDB" w:rsidR="004874BF" w:rsidRPr="004874BF" w:rsidRDefault="004874BF" w:rsidP="004874BF">
      <w:pPr>
        <w:spacing w:line="360" w:lineRule="auto"/>
        <w:ind w:firstLine="567"/>
        <w:rPr>
          <w:rFonts w:ascii="Calibri" w:hAnsi="Calibri" w:cs="Calibri"/>
        </w:rPr>
      </w:pPr>
      <w:r w:rsidRPr="004874BF">
        <w:rPr>
          <w:rFonts w:ascii="Calibri" w:hAnsi="Calibri" w:cs="Calibri"/>
        </w:rPr>
        <w:t>The energy and emissions database is a critical component to the modified UPGEM. In order to measure the impact of the South African carbon tax, it is necessary for the model to have greenhouse gas emissions embedded in the database. This, in essence, implies a vector of CO</w:t>
      </w:r>
      <w:r w:rsidRPr="00AB12A7">
        <w:rPr>
          <w:rFonts w:ascii="Calibri" w:hAnsi="Calibri" w:cs="Calibri"/>
          <w:vertAlign w:val="subscript"/>
        </w:rPr>
        <w:t>2</w:t>
      </w:r>
      <w:r w:rsidRPr="004874BF">
        <w:rPr>
          <w:rFonts w:ascii="Calibri" w:hAnsi="Calibri" w:cs="Calibri"/>
        </w:rPr>
        <w:t xml:space="preserve">-emissions and energy consumption (in terajoule), per industrial sector. The emissions and energy data used to develop the database for the model is based on </w:t>
      </w:r>
      <w:proofErr w:type="spellStart"/>
      <w:r w:rsidRPr="004874BF">
        <w:rPr>
          <w:rFonts w:ascii="Calibri" w:hAnsi="Calibri" w:cs="Calibri"/>
        </w:rPr>
        <w:t>Blignaut</w:t>
      </w:r>
      <w:proofErr w:type="spellEnd"/>
      <w:r w:rsidRPr="004874BF">
        <w:rPr>
          <w:rFonts w:ascii="Calibri" w:hAnsi="Calibri" w:cs="Calibri"/>
        </w:rPr>
        <w:t xml:space="preserve"> </w:t>
      </w:r>
      <w:r w:rsidRPr="00335874">
        <w:rPr>
          <w:rFonts w:ascii="Calibri" w:hAnsi="Calibri" w:cs="Calibri"/>
          <w:i/>
        </w:rPr>
        <w:t>et al</w:t>
      </w:r>
      <w:r w:rsidRPr="004874BF">
        <w:rPr>
          <w:rFonts w:ascii="Calibri" w:hAnsi="Calibri" w:cs="Calibri"/>
        </w:rPr>
        <w:t xml:space="preserve">. (2005) and </w:t>
      </w:r>
      <w:proofErr w:type="spellStart"/>
      <w:r w:rsidRPr="004874BF">
        <w:rPr>
          <w:rFonts w:ascii="Calibri" w:hAnsi="Calibri" w:cs="Calibri"/>
        </w:rPr>
        <w:t>Seymore</w:t>
      </w:r>
      <w:proofErr w:type="spellEnd"/>
      <w:r w:rsidRPr="004874BF">
        <w:rPr>
          <w:rFonts w:ascii="Calibri" w:hAnsi="Calibri" w:cs="Calibri"/>
        </w:rPr>
        <w:t xml:space="preserve"> </w:t>
      </w:r>
      <w:r w:rsidRPr="00335874">
        <w:rPr>
          <w:rFonts w:ascii="Calibri" w:hAnsi="Calibri" w:cs="Calibri"/>
          <w:i/>
        </w:rPr>
        <w:t>et al</w:t>
      </w:r>
      <w:r w:rsidRPr="004874BF">
        <w:rPr>
          <w:rFonts w:ascii="Calibri" w:hAnsi="Calibri" w:cs="Calibri"/>
          <w:i/>
        </w:rPr>
        <w:t>.</w:t>
      </w:r>
      <w:r w:rsidRPr="004874BF">
        <w:rPr>
          <w:rFonts w:ascii="Calibri" w:hAnsi="Calibri" w:cs="Calibri"/>
        </w:rPr>
        <w:t xml:space="preserve"> (2014). As described in these papers, a sectoral emissions and energy inventory was developed using emission factors from various South African sources, as well as UNFCCC default factors that resembled that of the South African DEA specific emission factors. It should be noted that the database contains no fugitive emissions. The source document for compiling the emissions and energy database is the 2007 energy balance of South Africa published by the Department of Energy, which has been adjusted to 2011 levels using the GDP growth rate over the period. The country-wide emissions level for 2007 was estimated as 503MtCO</w:t>
      </w:r>
      <w:r w:rsidRPr="00AB12A7">
        <w:rPr>
          <w:rFonts w:ascii="Calibri" w:hAnsi="Calibri" w:cs="Calibri"/>
          <w:vertAlign w:val="subscript"/>
        </w:rPr>
        <w:t>2</w:t>
      </w:r>
      <w:r w:rsidRPr="004874BF">
        <w:rPr>
          <w:rFonts w:ascii="Calibri" w:hAnsi="Calibri" w:cs="Calibri"/>
        </w:rPr>
        <w:t>-equiv., with the households’ portion being 45MtCO</w:t>
      </w:r>
      <w:r w:rsidRPr="00AB12A7">
        <w:rPr>
          <w:rFonts w:ascii="Calibri" w:hAnsi="Calibri" w:cs="Calibri"/>
          <w:vertAlign w:val="subscript"/>
        </w:rPr>
        <w:t>2</w:t>
      </w:r>
      <w:r w:rsidRPr="004874BF">
        <w:rPr>
          <w:rFonts w:ascii="Calibri" w:hAnsi="Calibri" w:cs="Calibri"/>
        </w:rPr>
        <w:t>-equiv. This implies industry-wide emissions of 458MtCO</w:t>
      </w:r>
      <w:r w:rsidRPr="00AB12A7">
        <w:rPr>
          <w:rFonts w:ascii="Calibri" w:hAnsi="Calibri" w:cs="Calibri"/>
          <w:vertAlign w:val="subscript"/>
        </w:rPr>
        <w:t>2</w:t>
      </w:r>
      <w:r w:rsidRPr="004874BF">
        <w:rPr>
          <w:rFonts w:ascii="Calibri" w:hAnsi="Calibri" w:cs="Calibri"/>
        </w:rPr>
        <w:t>-equiv., which compares favourably to the estimate of 433MtCO</w:t>
      </w:r>
      <w:r w:rsidRPr="00AB12A7">
        <w:rPr>
          <w:rFonts w:ascii="Calibri" w:hAnsi="Calibri" w:cs="Calibri"/>
          <w:vertAlign w:val="subscript"/>
        </w:rPr>
        <w:t>2</w:t>
      </w:r>
      <w:r w:rsidRPr="004874BF">
        <w:rPr>
          <w:rFonts w:ascii="Calibri" w:hAnsi="Calibri" w:cs="Calibri"/>
        </w:rPr>
        <w:t>-equiv. by DEA (2009) for 2000. Our estimate has been adjusted to 514MtCO</w:t>
      </w:r>
      <w:r w:rsidRPr="00AB12A7">
        <w:rPr>
          <w:rFonts w:ascii="Calibri" w:hAnsi="Calibri" w:cs="Calibri"/>
          <w:vertAlign w:val="subscript"/>
        </w:rPr>
        <w:t>2</w:t>
      </w:r>
      <w:r w:rsidRPr="004874BF">
        <w:rPr>
          <w:rFonts w:ascii="Calibri" w:hAnsi="Calibri" w:cs="Calibri"/>
        </w:rPr>
        <w:t>-equiv. for industries and 564MtCO</w:t>
      </w:r>
      <w:r w:rsidRPr="00AB12A7">
        <w:rPr>
          <w:rFonts w:ascii="Calibri" w:hAnsi="Calibri" w:cs="Calibri"/>
          <w:vertAlign w:val="subscript"/>
        </w:rPr>
        <w:t>2</w:t>
      </w:r>
      <w:r w:rsidRPr="004874BF">
        <w:rPr>
          <w:rFonts w:ascii="Calibri" w:hAnsi="Calibri" w:cs="Calibri"/>
        </w:rPr>
        <w:t>-equiv. for the country as a whole for 2011, as can be seen in Table 1. The tax is not levied directly on households, but indirectly through their consumption of commodities, hence the fact that their emissions and energy use is omitted from the database.</w:t>
      </w:r>
    </w:p>
    <w:p w14:paraId="0C5C29A8" w14:textId="77777777" w:rsidR="004874BF" w:rsidRPr="00BC30CC" w:rsidRDefault="004874BF" w:rsidP="004874BF">
      <w:pPr>
        <w:pStyle w:val="Caption"/>
        <w:keepNext/>
        <w:tabs>
          <w:tab w:val="left" w:pos="993"/>
        </w:tabs>
        <w:rPr>
          <w:color w:val="auto"/>
          <w:sz w:val="22"/>
          <w:szCs w:val="22"/>
        </w:rPr>
      </w:pPr>
      <w:bookmarkStart w:id="1" w:name="_Toc398236700"/>
      <w:bookmarkStart w:id="2" w:name="_Toc399860280"/>
      <w:bookmarkStart w:id="3" w:name="_Toc399860398"/>
      <w:r w:rsidRPr="00BC30CC">
        <w:rPr>
          <w:color w:val="auto"/>
          <w:sz w:val="22"/>
          <w:szCs w:val="22"/>
        </w:rPr>
        <w:t xml:space="preserve">Table 1: </w:t>
      </w:r>
      <w:r w:rsidRPr="00BC30CC">
        <w:rPr>
          <w:color w:val="auto"/>
          <w:sz w:val="22"/>
          <w:szCs w:val="22"/>
        </w:rPr>
        <w:tab/>
        <w:t>Summary of emissions and energy use for 2007 and 2011.</w:t>
      </w:r>
      <w:bookmarkEnd w:id="1"/>
      <w:bookmarkEnd w:id="2"/>
      <w:bookmarkEnd w:id="3"/>
    </w:p>
    <w:tbl>
      <w:tblPr>
        <w:tblW w:w="901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2F2F2" w:themeFill="background1" w:themeFillShade="F2"/>
        <w:tblLook w:val="04A0" w:firstRow="1" w:lastRow="0" w:firstColumn="1" w:lastColumn="0" w:noHBand="0" w:noVBand="1"/>
      </w:tblPr>
      <w:tblGrid>
        <w:gridCol w:w="2310"/>
        <w:gridCol w:w="1364"/>
        <w:gridCol w:w="1170"/>
        <w:gridCol w:w="817"/>
        <w:gridCol w:w="1364"/>
        <w:gridCol w:w="1170"/>
        <w:gridCol w:w="817"/>
      </w:tblGrid>
      <w:tr w:rsidR="004874BF" w:rsidRPr="005B50F6" w14:paraId="64D2DF0C" w14:textId="77777777" w:rsidTr="004874BF">
        <w:trPr>
          <w:trHeight w:val="20"/>
        </w:trPr>
        <w:tc>
          <w:tcPr>
            <w:tcW w:w="2310" w:type="dxa"/>
            <w:vMerge w:val="restart"/>
            <w:shd w:val="clear" w:color="auto" w:fill="D9D9D9" w:themeFill="background1" w:themeFillShade="D9"/>
          </w:tcPr>
          <w:p w14:paraId="46B6C86E" w14:textId="77777777" w:rsidR="004874BF" w:rsidRPr="007B70B7" w:rsidRDefault="004874BF" w:rsidP="00060C3E">
            <w:pPr>
              <w:rPr>
                <w:b/>
                <w:color w:val="002060"/>
                <w:sz w:val="20"/>
              </w:rPr>
            </w:pPr>
          </w:p>
        </w:tc>
        <w:tc>
          <w:tcPr>
            <w:tcW w:w="3350" w:type="dxa"/>
            <w:gridSpan w:val="3"/>
            <w:shd w:val="clear" w:color="auto" w:fill="D9D9D9" w:themeFill="background1" w:themeFillShade="D9"/>
          </w:tcPr>
          <w:p w14:paraId="6D33F8DA" w14:textId="77777777" w:rsidR="004874BF" w:rsidRPr="007B70B7" w:rsidRDefault="004874BF" w:rsidP="00060C3E">
            <w:pPr>
              <w:jc w:val="center"/>
              <w:rPr>
                <w:b/>
                <w:color w:val="002060"/>
                <w:sz w:val="20"/>
              </w:rPr>
            </w:pPr>
            <w:r w:rsidRPr="007B70B7">
              <w:rPr>
                <w:b/>
                <w:color w:val="002060"/>
                <w:sz w:val="20"/>
              </w:rPr>
              <w:t>2007</w:t>
            </w:r>
          </w:p>
        </w:tc>
        <w:tc>
          <w:tcPr>
            <w:tcW w:w="3350" w:type="dxa"/>
            <w:gridSpan w:val="3"/>
            <w:shd w:val="clear" w:color="auto" w:fill="D9D9D9" w:themeFill="background1" w:themeFillShade="D9"/>
          </w:tcPr>
          <w:p w14:paraId="7DDEBBAD" w14:textId="77777777" w:rsidR="004874BF" w:rsidRPr="007B70B7" w:rsidRDefault="004874BF" w:rsidP="00060C3E">
            <w:pPr>
              <w:jc w:val="center"/>
              <w:rPr>
                <w:b/>
                <w:color w:val="002060"/>
                <w:sz w:val="20"/>
              </w:rPr>
            </w:pPr>
            <w:r w:rsidRPr="007B70B7">
              <w:rPr>
                <w:b/>
                <w:color w:val="002060"/>
                <w:sz w:val="20"/>
              </w:rPr>
              <w:t>2011</w:t>
            </w:r>
          </w:p>
        </w:tc>
      </w:tr>
      <w:tr w:rsidR="004874BF" w:rsidRPr="005B50F6" w14:paraId="6D6AB56F" w14:textId="77777777" w:rsidTr="004874BF">
        <w:trPr>
          <w:trHeight w:val="20"/>
        </w:trPr>
        <w:tc>
          <w:tcPr>
            <w:tcW w:w="2310" w:type="dxa"/>
            <w:vMerge/>
            <w:shd w:val="clear" w:color="auto" w:fill="D9D9D9" w:themeFill="background1" w:themeFillShade="D9"/>
          </w:tcPr>
          <w:p w14:paraId="08C3AB4D" w14:textId="77777777" w:rsidR="004874BF" w:rsidRPr="007B70B7" w:rsidRDefault="004874BF" w:rsidP="00060C3E">
            <w:pPr>
              <w:rPr>
                <w:b/>
                <w:color w:val="002060"/>
                <w:sz w:val="20"/>
              </w:rPr>
            </w:pPr>
          </w:p>
        </w:tc>
        <w:tc>
          <w:tcPr>
            <w:tcW w:w="1364" w:type="dxa"/>
            <w:shd w:val="clear" w:color="auto" w:fill="D9D9D9" w:themeFill="background1" w:themeFillShade="D9"/>
          </w:tcPr>
          <w:p w14:paraId="558F5794" w14:textId="77777777" w:rsidR="004874BF" w:rsidRPr="007B70B7" w:rsidRDefault="004874BF" w:rsidP="00060C3E">
            <w:pPr>
              <w:jc w:val="center"/>
              <w:rPr>
                <w:b/>
                <w:color w:val="002060"/>
                <w:sz w:val="20"/>
              </w:rPr>
            </w:pPr>
            <w:r w:rsidRPr="007B70B7">
              <w:rPr>
                <w:b/>
                <w:color w:val="002060"/>
                <w:sz w:val="20"/>
              </w:rPr>
              <w:t>Households</w:t>
            </w:r>
          </w:p>
        </w:tc>
        <w:tc>
          <w:tcPr>
            <w:tcW w:w="1170" w:type="dxa"/>
            <w:shd w:val="clear" w:color="auto" w:fill="D9D9D9" w:themeFill="background1" w:themeFillShade="D9"/>
          </w:tcPr>
          <w:p w14:paraId="771FA1DA" w14:textId="77777777" w:rsidR="004874BF" w:rsidRPr="007B70B7" w:rsidRDefault="004874BF" w:rsidP="00060C3E">
            <w:pPr>
              <w:jc w:val="center"/>
              <w:rPr>
                <w:b/>
                <w:color w:val="002060"/>
                <w:sz w:val="20"/>
              </w:rPr>
            </w:pPr>
            <w:r w:rsidRPr="007B70B7">
              <w:rPr>
                <w:b/>
                <w:color w:val="002060"/>
                <w:sz w:val="20"/>
              </w:rPr>
              <w:t>Industry</w:t>
            </w:r>
          </w:p>
        </w:tc>
        <w:tc>
          <w:tcPr>
            <w:tcW w:w="817" w:type="dxa"/>
            <w:shd w:val="clear" w:color="auto" w:fill="D9D9D9" w:themeFill="background1" w:themeFillShade="D9"/>
          </w:tcPr>
          <w:p w14:paraId="13912747" w14:textId="77777777" w:rsidR="004874BF" w:rsidRPr="007B70B7" w:rsidRDefault="004874BF" w:rsidP="00060C3E">
            <w:pPr>
              <w:jc w:val="center"/>
              <w:rPr>
                <w:b/>
                <w:color w:val="002060"/>
                <w:sz w:val="20"/>
              </w:rPr>
            </w:pPr>
            <w:r w:rsidRPr="007B70B7">
              <w:rPr>
                <w:b/>
                <w:color w:val="002060"/>
                <w:sz w:val="20"/>
              </w:rPr>
              <w:t>Total</w:t>
            </w:r>
          </w:p>
        </w:tc>
        <w:tc>
          <w:tcPr>
            <w:tcW w:w="1364" w:type="dxa"/>
            <w:shd w:val="clear" w:color="auto" w:fill="D9D9D9" w:themeFill="background1" w:themeFillShade="D9"/>
          </w:tcPr>
          <w:p w14:paraId="429C84AB" w14:textId="77777777" w:rsidR="004874BF" w:rsidRPr="007B70B7" w:rsidRDefault="004874BF" w:rsidP="00060C3E">
            <w:pPr>
              <w:jc w:val="center"/>
              <w:rPr>
                <w:b/>
                <w:color w:val="002060"/>
                <w:sz w:val="20"/>
              </w:rPr>
            </w:pPr>
            <w:r w:rsidRPr="007B70B7">
              <w:rPr>
                <w:b/>
                <w:color w:val="002060"/>
                <w:sz w:val="20"/>
              </w:rPr>
              <w:t>Households</w:t>
            </w:r>
          </w:p>
        </w:tc>
        <w:tc>
          <w:tcPr>
            <w:tcW w:w="1170" w:type="dxa"/>
            <w:shd w:val="clear" w:color="auto" w:fill="D9D9D9" w:themeFill="background1" w:themeFillShade="D9"/>
          </w:tcPr>
          <w:p w14:paraId="099A5E9A" w14:textId="77777777" w:rsidR="004874BF" w:rsidRPr="007B70B7" w:rsidRDefault="004874BF" w:rsidP="00060C3E">
            <w:pPr>
              <w:jc w:val="center"/>
              <w:rPr>
                <w:b/>
                <w:color w:val="002060"/>
                <w:sz w:val="20"/>
              </w:rPr>
            </w:pPr>
            <w:r w:rsidRPr="007B70B7">
              <w:rPr>
                <w:b/>
                <w:color w:val="002060"/>
                <w:sz w:val="20"/>
              </w:rPr>
              <w:t>Industry</w:t>
            </w:r>
          </w:p>
        </w:tc>
        <w:tc>
          <w:tcPr>
            <w:tcW w:w="817" w:type="dxa"/>
            <w:shd w:val="clear" w:color="auto" w:fill="D9D9D9" w:themeFill="background1" w:themeFillShade="D9"/>
          </w:tcPr>
          <w:p w14:paraId="022C028E" w14:textId="77777777" w:rsidR="004874BF" w:rsidRPr="007B70B7" w:rsidRDefault="004874BF" w:rsidP="00060C3E">
            <w:pPr>
              <w:jc w:val="center"/>
              <w:rPr>
                <w:b/>
                <w:color w:val="002060"/>
                <w:sz w:val="20"/>
              </w:rPr>
            </w:pPr>
            <w:r w:rsidRPr="007B70B7">
              <w:rPr>
                <w:b/>
                <w:color w:val="002060"/>
                <w:sz w:val="20"/>
              </w:rPr>
              <w:t>Total</w:t>
            </w:r>
          </w:p>
        </w:tc>
      </w:tr>
      <w:tr w:rsidR="004874BF" w:rsidRPr="005B50F6" w14:paraId="19BBE3AE" w14:textId="77777777" w:rsidTr="004874BF">
        <w:trPr>
          <w:trHeight w:val="20"/>
        </w:trPr>
        <w:tc>
          <w:tcPr>
            <w:tcW w:w="2310" w:type="dxa"/>
            <w:shd w:val="clear" w:color="auto" w:fill="F2F2F2" w:themeFill="background1" w:themeFillShade="F2"/>
          </w:tcPr>
          <w:p w14:paraId="31BF57D7" w14:textId="77777777" w:rsidR="004874BF" w:rsidRPr="007B70B7" w:rsidRDefault="004874BF" w:rsidP="00060C3E">
            <w:pPr>
              <w:rPr>
                <w:color w:val="002060"/>
                <w:sz w:val="20"/>
              </w:rPr>
            </w:pPr>
            <w:r w:rsidRPr="007B70B7">
              <w:rPr>
                <w:color w:val="002060"/>
                <w:sz w:val="20"/>
              </w:rPr>
              <w:t>CO</w:t>
            </w:r>
            <w:r w:rsidRPr="007B70B7">
              <w:rPr>
                <w:color w:val="002060"/>
                <w:sz w:val="20"/>
                <w:vertAlign w:val="subscript"/>
              </w:rPr>
              <w:t>2</w:t>
            </w:r>
            <w:r w:rsidRPr="007B70B7">
              <w:rPr>
                <w:color w:val="002060"/>
                <w:sz w:val="20"/>
              </w:rPr>
              <w:t>-emissions (Mil ton)</w:t>
            </w:r>
          </w:p>
        </w:tc>
        <w:tc>
          <w:tcPr>
            <w:tcW w:w="1364" w:type="dxa"/>
            <w:shd w:val="clear" w:color="auto" w:fill="F2F2F2" w:themeFill="background1" w:themeFillShade="F2"/>
          </w:tcPr>
          <w:p w14:paraId="1499AEE5" w14:textId="77777777" w:rsidR="004874BF" w:rsidRPr="007B70B7" w:rsidRDefault="004874BF" w:rsidP="00060C3E">
            <w:pPr>
              <w:jc w:val="center"/>
              <w:rPr>
                <w:color w:val="002060"/>
                <w:sz w:val="20"/>
              </w:rPr>
            </w:pPr>
            <w:r w:rsidRPr="007B70B7">
              <w:rPr>
                <w:color w:val="002060"/>
                <w:sz w:val="20"/>
              </w:rPr>
              <w:t>45</w:t>
            </w:r>
          </w:p>
        </w:tc>
        <w:tc>
          <w:tcPr>
            <w:tcW w:w="1170" w:type="dxa"/>
            <w:shd w:val="clear" w:color="auto" w:fill="F2F2F2" w:themeFill="background1" w:themeFillShade="F2"/>
          </w:tcPr>
          <w:p w14:paraId="66D74E39" w14:textId="77777777" w:rsidR="004874BF" w:rsidRPr="007B70B7" w:rsidRDefault="004874BF" w:rsidP="00060C3E">
            <w:pPr>
              <w:jc w:val="center"/>
              <w:rPr>
                <w:color w:val="002060"/>
                <w:sz w:val="20"/>
              </w:rPr>
            </w:pPr>
            <w:r w:rsidRPr="007B70B7">
              <w:rPr>
                <w:color w:val="002060"/>
                <w:sz w:val="20"/>
              </w:rPr>
              <w:t>458</w:t>
            </w:r>
          </w:p>
        </w:tc>
        <w:tc>
          <w:tcPr>
            <w:tcW w:w="817" w:type="dxa"/>
            <w:shd w:val="clear" w:color="auto" w:fill="D9D9D9" w:themeFill="background1" w:themeFillShade="D9"/>
          </w:tcPr>
          <w:p w14:paraId="6CE0C209" w14:textId="77777777" w:rsidR="004874BF" w:rsidRPr="007B70B7" w:rsidRDefault="004874BF" w:rsidP="00060C3E">
            <w:pPr>
              <w:jc w:val="center"/>
              <w:rPr>
                <w:b/>
                <w:color w:val="002060"/>
                <w:sz w:val="20"/>
              </w:rPr>
            </w:pPr>
            <w:r w:rsidRPr="007B70B7">
              <w:rPr>
                <w:b/>
                <w:color w:val="002060"/>
                <w:sz w:val="20"/>
              </w:rPr>
              <w:t>503</w:t>
            </w:r>
          </w:p>
        </w:tc>
        <w:tc>
          <w:tcPr>
            <w:tcW w:w="1364" w:type="dxa"/>
            <w:shd w:val="clear" w:color="auto" w:fill="F2F2F2" w:themeFill="background1" w:themeFillShade="F2"/>
          </w:tcPr>
          <w:p w14:paraId="0580D19A" w14:textId="77777777" w:rsidR="004874BF" w:rsidRPr="007B70B7" w:rsidRDefault="004874BF" w:rsidP="00060C3E">
            <w:pPr>
              <w:jc w:val="center"/>
              <w:rPr>
                <w:color w:val="002060"/>
                <w:sz w:val="20"/>
              </w:rPr>
            </w:pPr>
            <w:r w:rsidRPr="007B70B7">
              <w:rPr>
                <w:color w:val="002060"/>
                <w:sz w:val="20"/>
              </w:rPr>
              <w:t>50</w:t>
            </w:r>
          </w:p>
        </w:tc>
        <w:tc>
          <w:tcPr>
            <w:tcW w:w="1170" w:type="dxa"/>
            <w:shd w:val="clear" w:color="auto" w:fill="F2F2F2" w:themeFill="background1" w:themeFillShade="F2"/>
          </w:tcPr>
          <w:p w14:paraId="39F5BE03" w14:textId="77777777" w:rsidR="004874BF" w:rsidRPr="007B70B7" w:rsidRDefault="004874BF" w:rsidP="00060C3E">
            <w:pPr>
              <w:jc w:val="center"/>
              <w:rPr>
                <w:color w:val="002060"/>
                <w:sz w:val="20"/>
              </w:rPr>
            </w:pPr>
            <w:r w:rsidRPr="007B70B7">
              <w:rPr>
                <w:color w:val="002060"/>
                <w:sz w:val="20"/>
              </w:rPr>
              <w:t>514</w:t>
            </w:r>
          </w:p>
        </w:tc>
        <w:tc>
          <w:tcPr>
            <w:tcW w:w="817" w:type="dxa"/>
            <w:shd w:val="clear" w:color="auto" w:fill="D9D9D9" w:themeFill="background1" w:themeFillShade="D9"/>
          </w:tcPr>
          <w:p w14:paraId="2387545B" w14:textId="77777777" w:rsidR="004874BF" w:rsidRPr="007B70B7" w:rsidRDefault="004874BF" w:rsidP="00060C3E">
            <w:pPr>
              <w:jc w:val="center"/>
              <w:rPr>
                <w:b/>
                <w:color w:val="002060"/>
                <w:sz w:val="20"/>
              </w:rPr>
            </w:pPr>
            <w:r w:rsidRPr="007B70B7">
              <w:rPr>
                <w:b/>
                <w:color w:val="002060"/>
                <w:sz w:val="20"/>
              </w:rPr>
              <w:t>564</w:t>
            </w:r>
          </w:p>
        </w:tc>
      </w:tr>
      <w:tr w:rsidR="004874BF" w:rsidRPr="005B50F6" w14:paraId="43153EF1" w14:textId="77777777" w:rsidTr="004874BF">
        <w:trPr>
          <w:trHeight w:val="20"/>
        </w:trPr>
        <w:tc>
          <w:tcPr>
            <w:tcW w:w="2310" w:type="dxa"/>
            <w:shd w:val="clear" w:color="auto" w:fill="F2F2F2" w:themeFill="background1" w:themeFillShade="F2"/>
          </w:tcPr>
          <w:p w14:paraId="581A3BAA" w14:textId="77777777" w:rsidR="004874BF" w:rsidRPr="007B70B7" w:rsidRDefault="004874BF" w:rsidP="00060C3E">
            <w:pPr>
              <w:rPr>
                <w:color w:val="002060"/>
                <w:sz w:val="20"/>
              </w:rPr>
            </w:pPr>
            <w:r w:rsidRPr="007B70B7">
              <w:rPr>
                <w:color w:val="002060"/>
                <w:sz w:val="20"/>
              </w:rPr>
              <w:t>Energy use (TJ)</w:t>
            </w:r>
          </w:p>
        </w:tc>
        <w:tc>
          <w:tcPr>
            <w:tcW w:w="1364" w:type="dxa"/>
            <w:shd w:val="clear" w:color="auto" w:fill="F2F2F2" w:themeFill="background1" w:themeFillShade="F2"/>
          </w:tcPr>
          <w:p w14:paraId="016FBE1B" w14:textId="77777777" w:rsidR="004874BF" w:rsidRPr="007B70B7" w:rsidRDefault="004874BF" w:rsidP="00060C3E">
            <w:pPr>
              <w:jc w:val="center"/>
              <w:rPr>
                <w:color w:val="002060"/>
                <w:sz w:val="20"/>
              </w:rPr>
            </w:pPr>
          </w:p>
        </w:tc>
        <w:tc>
          <w:tcPr>
            <w:tcW w:w="1170" w:type="dxa"/>
            <w:shd w:val="clear" w:color="auto" w:fill="F2F2F2" w:themeFill="background1" w:themeFillShade="F2"/>
          </w:tcPr>
          <w:p w14:paraId="36DCC104" w14:textId="77777777" w:rsidR="004874BF" w:rsidRPr="007B70B7" w:rsidRDefault="004874BF" w:rsidP="00060C3E">
            <w:pPr>
              <w:jc w:val="center"/>
              <w:rPr>
                <w:color w:val="002060"/>
                <w:sz w:val="20"/>
              </w:rPr>
            </w:pPr>
            <w:r w:rsidRPr="007B70B7">
              <w:rPr>
                <w:color w:val="002060"/>
                <w:sz w:val="20"/>
              </w:rPr>
              <w:t>6 012 316</w:t>
            </w:r>
          </w:p>
        </w:tc>
        <w:tc>
          <w:tcPr>
            <w:tcW w:w="817" w:type="dxa"/>
            <w:shd w:val="clear" w:color="auto" w:fill="F2F2F2" w:themeFill="background1" w:themeFillShade="F2"/>
          </w:tcPr>
          <w:p w14:paraId="4DE57A90" w14:textId="77777777" w:rsidR="004874BF" w:rsidRPr="007B70B7" w:rsidRDefault="004874BF" w:rsidP="00060C3E">
            <w:pPr>
              <w:jc w:val="center"/>
              <w:rPr>
                <w:color w:val="002060"/>
                <w:sz w:val="20"/>
              </w:rPr>
            </w:pPr>
          </w:p>
        </w:tc>
        <w:tc>
          <w:tcPr>
            <w:tcW w:w="1364" w:type="dxa"/>
            <w:shd w:val="clear" w:color="auto" w:fill="F2F2F2" w:themeFill="background1" w:themeFillShade="F2"/>
          </w:tcPr>
          <w:p w14:paraId="779BCFE2" w14:textId="77777777" w:rsidR="004874BF" w:rsidRPr="007B70B7" w:rsidRDefault="004874BF" w:rsidP="00060C3E">
            <w:pPr>
              <w:jc w:val="center"/>
              <w:rPr>
                <w:color w:val="002060"/>
                <w:sz w:val="20"/>
              </w:rPr>
            </w:pPr>
          </w:p>
        </w:tc>
        <w:tc>
          <w:tcPr>
            <w:tcW w:w="1170" w:type="dxa"/>
            <w:shd w:val="clear" w:color="auto" w:fill="F2F2F2" w:themeFill="background1" w:themeFillShade="F2"/>
          </w:tcPr>
          <w:p w14:paraId="2F830EAF" w14:textId="77777777" w:rsidR="004874BF" w:rsidRPr="007B70B7" w:rsidRDefault="004874BF" w:rsidP="00060C3E">
            <w:pPr>
              <w:jc w:val="center"/>
              <w:rPr>
                <w:color w:val="002060"/>
                <w:sz w:val="20"/>
              </w:rPr>
            </w:pPr>
            <w:r w:rsidRPr="007B70B7">
              <w:rPr>
                <w:color w:val="002060"/>
                <w:sz w:val="20"/>
              </w:rPr>
              <w:t>6 735 434</w:t>
            </w:r>
          </w:p>
        </w:tc>
        <w:tc>
          <w:tcPr>
            <w:tcW w:w="817" w:type="dxa"/>
            <w:shd w:val="clear" w:color="auto" w:fill="F2F2F2" w:themeFill="background1" w:themeFillShade="F2"/>
          </w:tcPr>
          <w:p w14:paraId="51D71389" w14:textId="77777777" w:rsidR="004874BF" w:rsidRPr="007B70B7" w:rsidRDefault="004874BF" w:rsidP="00060C3E">
            <w:pPr>
              <w:jc w:val="center"/>
              <w:rPr>
                <w:color w:val="002060"/>
                <w:sz w:val="20"/>
              </w:rPr>
            </w:pPr>
          </w:p>
        </w:tc>
      </w:tr>
    </w:tbl>
    <w:p w14:paraId="211C8B07" w14:textId="77777777" w:rsidR="004874BF" w:rsidRPr="005A3D81" w:rsidRDefault="004874BF" w:rsidP="004874BF">
      <w:pPr>
        <w:spacing w:before="240" w:line="360" w:lineRule="auto"/>
        <w:rPr>
          <w:rFonts w:ascii="Arial" w:hAnsi="Arial"/>
        </w:rPr>
      </w:pPr>
    </w:p>
    <w:p w14:paraId="5F0E5F76" w14:textId="77777777" w:rsidR="004874BF" w:rsidRPr="004874BF" w:rsidRDefault="004874BF" w:rsidP="00060C3E">
      <w:pPr>
        <w:spacing w:line="360" w:lineRule="auto"/>
        <w:rPr>
          <w:rFonts w:ascii="Calibri" w:hAnsi="Calibri" w:cs="Calibri"/>
        </w:rPr>
      </w:pPr>
      <w:r w:rsidRPr="004874BF">
        <w:rPr>
          <w:rFonts w:ascii="Calibri" w:hAnsi="Calibri" w:cs="Calibri"/>
        </w:rPr>
        <w:t>The proposed tax is effectively a fossil fuel input tax, but levied on industry-specific CO</w:t>
      </w:r>
      <w:r w:rsidRPr="00AB12A7">
        <w:rPr>
          <w:rFonts w:ascii="Calibri" w:hAnsi="Calibri" w:cs="Calibri"/>
          <w:vertAlign w:val="subscript"/>
        </w:rPr>
        <w:t>2</w:t>
      </w:r>
      <w:r w:rsidRPr="004874BF">
        <w:rPr>
          <w:rFonts w:ascii="Calibri" w:hAnsi="Calibri" w:cs="Calibri"/>
        </w:rPr>
        <w:t>-emissions. Since the emissions and energy content of fuels vary, the tax has to be applied on fuel use. An emissions and energy database in terms of fuels had to be developed based on the industry-wide consumption lev</w:t>
      </w:r>
      <w:r w:rsidR="00060C3E">
        <w:rPr>
          <w:rFonts w:ascii="Calibri" w:hAnsi="Calibri" w:cs="Calibri"/>
        </w:rPr>
        <w:t xml:space="preserve">els. This </w:t>
      </w:r>
      <w:r w:rsidR="00060C3E">
        <w:rPr>
          <w:rFonts w:ascii="Calibri" w:hAnsi="Calibri" w:cs="Calibri"/>
        </w:rPr>
        <w:lastRenderedPageBreak/>
        <w:t xml:space="preserve">is provided in Table </w:t>
      </w:r>
      <w:r w:rsidRPr="004874BF">
        <w:rPr>
          <w:rFonts w:ascii="Calibri" w:hAnsi="Calibri" w:cs="Calibri"/>
        </w:rPr>
        <w:t>2.  Note that biomass-related emissions and energy use is excluded from the database as it does not represent a fossil fuel, hence the fact that the numbers for total emissions and energy use is less than depicted in Table 1. This exclusion, together with that of households, narrows the tax base by about 15 per</w:t>
      </w:r>
      <w:r>
        <w:rPr>
          <w:rFonts w:ascii="Calibri" w:hAnsi="Calibri" w:cs="Calibri"/>
        </w:rPr>
        <w:t xml:space="preserve"> </w:t>
      </w:r>
      <w:r w:rsidRPr="004874BF">
        <w:rPr>
          <w:rFonts w:ascii="Calibri" w:hAnsi="Calibri" w:cs="Calibri"/>
        </w:rPr>
        <w:t xml:space="preserve">cent.  </w:t>
      </w:r>
    </w:p>
    <w:p w14:paraId="45711C7D" w14:textId="77777777" w:rsidR="004874BF" w:rsidRPr="00BC30CC" w:rsidRDefault="004874BF" w:rsidP="004874BF">
      <w:pPr>
        <w:pStyle w:val="Caption"/>
        <w:keepNext/>
        <w:tabs>
          <w:tab w:val="left" w:pos="993"/>
        </w:tabs>
        <w:rPr>
          <w:color w:val="auto"/>
          <w:sz w:val="22"/>
          <w:szCs w:val="22"/>
        </w:rPr>
      </w:pPr>
      <w:bookmarkStart w:id="4" w:name="_Toc398236593"/>
      <w:bookmarkStart w:id="5" w:name="_Toc398236701"/>
      <w:bookmarkStart w:id="6" w:name="_Toc398236761"/>
      <w:bookmarkStart w:id="7" w:name="_Toc399860281"/>
      <w:bookmarkStart w:id="8" w:name="_Toc399860399"/>
      <w:r w:rsidRPr="00BC30CC">
        <w:rPr>
          <w:color w:val="auto"/>
          <w:sz w:val="22"/>
          <w:szCs w:val="22"/>
        </w:rPr>
        <w:t xml:space="preserve">Table </w:t>
      </w:r>
      <w:r w:rsidR="00BC30CC" w:rsidRPr="00BC30CC">
        <w:rPr>
          <w:color w:val="auto"/>
          <w:sz w:val="22"/>
          <w:szCs w:val="22"/>
        </w:rPr>
        <w:t>2</w:t>
      </w:r>
      <w:r w:rsidRPr="00BC30CC">
        <w:rPr>
          <w:color w:val="auto"/>
          <w:sz w:val="22"/>
          <w:szCs w:val="22"/>
        </w:rPr>
        <w:t xml:space="preserve">: </w:t>
      </w:r>
      <w:r w:rsidRPr="00BC30CC">
        <w:rPr>
          <w:color w:val="auto"/>
          <w:sz w:val="22"/>
          <w:szCs w:val="22"/>
        </w:rPr>
        <w:tab/>
        <w:t>Emissions (in Mil ton) and energy use (in TJ) by fuel for various years.</w:t>
      </w:r>
      <w:bookmarkEnd w:id="4"/>
      <w:bookmarkEnd w:id="5"/>
      <w:bookmarkEnd w:id="6"/>
      <w:bookmarkEnd w:id="7"/>
      <w:bookmarkEnd w:id="8"/>
    </w:p>
    <w:tbl>
      <w:tblPr>
        <w:tblW w:w="679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2F2F2" w:themeFill="background1" w:themeFillShade="F2"/>
        <w:tblLook w:val="04A0" w:firstRow="1" w:lastRow="0" w:firstColumn="1" w:lastColumn="0" w:noHBand="0" w:noVBand="1"/>
      </w:tblPr>
      <w:tblGrid>
        <w:gridCol w:w="1420"/>
        <w:gridCol w:w="1382"/>
        <w:gridCol w:w="1300"/>
        <w:gridCol w:w="1393"/>
        <w:gridCol w:w="1300"/>
      </w:tblGrid>
      <w:tr w:rsidR="004874BF" w:rsidRPr="005B50F6" w14:paraId="6331231F" w14:textId="77777777" w:rsidTr="00060C3E">
        <w:trPr>
          <w:trHeight w:val="300"/>
        </w:trPr>
        <w:tc>
          <w:tcPr>
            <w:tcW w:w="1420" w:type="dxa"/>
            <w:vMerge w:val="restart"/>
            <w:shd w:val="clear" w:color="auto" w:fill="D9D9D9" w:themeFill="background1" w:themeFillShade="D9"/>
            <w:noWrap/>
            <w:hideMark/>
          </w:tcPr>
          <w:p w14:paraId="1F5ED376" w14:textId="77777777" w:rsidR="004874BF" w:rsidRPr="007B70B7" w:rsidRDefault="004874BF" w:rsidP="00060C3E">
            <w:pPr>
              <w:rPr>
                <w:b/>
                <w:color w:val="002060"/>
                <w:sz w:val="20"/>
              </w:rPr>
            </w:pPr>
          </w:p>
        </w:tc>
        <w:tc>
          <w:tcPr>
            <w:tcW w:w="2682" w:type="dxa"/>
            <w:gridSpan w:val="2"/>
            <w:shd w:val="clear" w:color="auto" w:fill="D9D9D9" w:themeFill="background1" w:themeFillShade="D9"/>
            <w:noWrap/>
            <w:hideMark/>
          </w:tcPr>
          <w:p w14:paraId="13E30680" w14:textId="77777777" w:rsidR="004874BF" w:rsidRPr="007B70B7" w:rsidRDefault="004874BF" w:rsidP="00060C3E">
            <w:pPr>
              <w:jc w:val="center"/>
              <w:rPr>
                <w:b/>
                <w:color w:val="002060"/>
                <w:sz w:val="20"/>
              </w:rPr>
            </w:pPr>
            <w:r w:rsidRPr="007B70B7">
              <w:rPr>
                <w:b/>
                <w:color w:val="002060"/>
                <w:sz w:val="20"/>
              </w:rPr>
              <w:t>2007</w:t>
            </w:r>
          </w:p>
        </w:tc>
        <w:tc>
          <w:tcPr>
            <w:tcW w:w="2693" w:type="dxa"/>
            <w:gridSpan w:val="2"/>
            <w:shd w:val="clear" w:color="auto" w:fill="D9D9D9" w:themeFill="background1" w:themeFillShade="D9"/>
            <w:noWrap/>
            <w:hideMark/>
          </w:tcPr>
          <w:p w14:paraId="077D0B8F" w14:textId="77777777" w:rsidR="004874BF" w:rsidRPr="007B70B7" w:rsidRDefault="004874BF" w:rsidP="00060C3E">
            <w:pPr>
              <w:jc w:val="center"/>
              <w:rPr>
                <w:b/>
                <w:color w:val="002060"/>
                <w:sz w:val="20"/>
              </w:rPr>
            </w:pPr>
            <w:r w:rsidRPr="007B70B7">
              <w:rPr>
                <w:b/>
                <w:color w:val="002060"/>
                <w:sz w:val="20"/>
              </w:rPr>
              <w:t>2011</w:t>
            </w:r>
          </w:p>
        </w:tc>
      </w:tr>
      <w:tr w:rsidR="004874BF" w:rsidRPr="005B50F6" w14:paraId="4CD018A7" w14:textId="77777777" w:rsidTr="00060C3E">
        <w:trPr>
          <w:trHeight w:val="300"/>
        </w:trPr>
        <w:tc>
          <w:tcPr>
            <w:tcW w:w="1420" w:type="dxa"/>
            <w:vMerge/>
            <w:shd w:val="clear" w:color="auto" w:fill="D9D9D9" w:themeFill="background1" w:themeFillShade="D9"/>
            <w:noWrap/>
            <w:hideMark/>
          </w:tcPr>
          <w:p w14:paraId="6F1D429C" w14:textId="77777777" w:rsidR="004874BF" w:rsidRPr="007B70B7" w:rsidRDefault="004874BF" w:rsidP="00060C3E">
            <w:pPr>
              <w:rPr>
                <w:b/>
                <w:color w:val="002060"/>
                <w:sz w:val="20"/>
              </w:rPr>
            </w:pPr>
          </w:p>
        </w:tc>
        <w:tc>
          <w:tcPr>
            <w:tcW w:w="1382" w:type="dxa"/>
            <w:shd w:val="clear" w:color="auto" w:fill="D9D9D9" w:themeFill="background1" w:themeFillShade="D9"/>
            <w:noWrap/>
            <w:hideMark/>
          </w:tcPr>
          <w:p w14:paraId="50915F85" w14:textId="77777777" w:rsidR="004874BF" w:rsidRPr="007B70B7" w:rsidRDefault="004874BF" w:rsidP="00060C3E">
            <w:pPr>
              <w:jc w:val="center"/>
              <w:rPr>
                <w:b/>
                <w:color w:val="002060"/>
                <w:sz w:val="20"/>
              </w:rPr>
            </w:pPr>
            <w:r w:rsidRPr="007B70B7">
              <w:rPr>
                <w:b/>
                <w:color w:val="002060"/>
                <w:sz w:val="20"/>
              </w:rPr>
              <w:t>MtCO</w:t>
            </w:r>
            <w:r w:rsidRPr="007B70B7">
              <w:rPr>
                <w:b/>
                <w:color w:val="002060"/>
                <w:sz w:val="20"/>
                <w:vertAlign w:val="subscript"/>
              </w:rPr>
              <w:t>2</w:t>
            </w:r>
            <w:r w:rsidRPr="007B70B7">
              <w:rPr>
                <w:b/>
                <w:color w:val="002060"/>
                <w:sz w:val="20"/>
              </w:rPr>
              <w:t>-equiv</w:t>
            </w:r>
          </w:p>
        </w:tc>
        <w:tc>
          <w:tcPr>
            <w:tcW w:w="1300" w:type="dxa"/>
            <w:shd w:val="clear" w:color="auto" w:fill="D9D9D9" w:themeFill="background1" w:themeFillShade="D9"/>
            <w:noWrap/>
            <w:hideMark/>
          </w:tcPr>
          <w:p w14:paraId="740A4D1A" w14:textId="77777777" w:rsidR="004874BF" w:rsidRPr="007B70B7" w:rsidRDefault="004874BF" w:rsidP="00060C3E">
            <w:pPr>
              <w:jc w:val="center"/>
              <w:rPr>
                <w:b/>
                <w:color w:val="002060"/>
                <w:sz w:val="20"/>
              </w:rPr>
            </w:pPr>
            <w:r w:rsidRPr="007B70B7">
              <w:rPr>
                <w:b/>
                <w:color w:val="002060"/>
                <w:sz w:val="20"/>
              </w:rPr>
              <w:t>TJ</w:t>
            </w:r>
          </w:p>
        </w:tc>
        <w:tc>
          <w:tcPr>
            <w:tcW w:w="1393" w:type="dxa"/>
            <w:shd w:val="clear" w:color="auto" w:fill="D9D9D9" w:themeFill="background1" w:themeFillShade="D9"/>
            <w:noWrap/>
            <w:hideMark/>
          </w:tcPr>
          <w:p w14:paraId="4A3CCBD7" w14:textId="77777777" w:rsidR="004874BF" w:rsidRPr="007B70B7" w:rsidRDefault="004874BF" w:rsidP="00060C3E">
            <w:pPr>
              <w:jc w:val="center"/>
              <w:rPr>
                <w:b/>
                <w:color w:val="002060"/>
                <w:sz w:val="20"/>
              </w:rPr>
            </w:pPr>
            <w:r w:rsidRPr="007B70B7">
              <w:rPr>
                <w:b/>
                <w:color w:val="002060"/>
                <w:sz w:val="20"/>
              </w:rPr>
              <w:t>MtCO</w:t>
            </w:r>
            <w:r w:rsidRPr="007B70B7">
              <w:rPr>
                <w:b/>
                <w:color w:val="002060"/>
                <w:sz w:val="20"/>
                <w:vertAlign w:val="subscript"/>
              </w:rPr>
              <w:t>2</w:t>
            </w:r>
            <w:r w:rsidRPr="007B70B7">
              <w:rPr>
                <w:b/>
                <w:color w:val="002060"/>
                <w:sz w:val="20"/>
              </w:rPr>
              <w:t>-equiv</w:t>
            </w:r>
          </w:p>
        </w:tc>
        <w:tc>
          <w:tcPr>
            <w:tcW w:w="1300" w:type="dxa"/>
            <w:shd w:val="clear" w:color="auto" w:fill="D9D9D9" w:themeFill="background1" w:themeFillShade="D9"/>
            <w:noWrap/>
            <w:hideMark/>
          </w:tcPr>
          <w:p w14:paraId="1964D871" w14:textId="77777777" w:rsidR="004874BF" w:rsidRPr="007B70B7" w:rsidRDefault="004874BF" w:rsidP="00060C3E">
            <w:pPr>
              <w:jc w:val="center"/>
              <w:rPr>
                <w:b/>
                <w:color w:val="002060"/>
                <w:sz w:val="20"/>
              </w:rPr>
            </w:pPr>
            <w:r w:rsidRPr="007B70B7">
              <w:rPr>
                <w:b/>
                <w:color w:val="002060"/>
                <w:sz w:val="20"/>
              </w:rPr>
              <w:t>TJ</w:t>
            </w:r>
          </w:p>
        </w:tc>
      </w:tr>
      <w:tr w:rsidR="004874BF" w:rsidRPr="005B50F6" w14:paraId="0715F576" w14:textId="77777777" w:rsidTr="00060C3E">
        <w:trPr>
          <w:trHeight w:val="300"/>
        </w:trPr>
        <w:tc>
          <w:tcPr>
            <w:tcW w:w="1420" w:type="dxa"/>
            <w:shd w:val="clear" w:color="auto" w:fill="F2F2F2" w:themeFill="background1" w:themeFillShade="F2"/>
            <w:noWrap/>
            <w:hideMark/>
          </w:tcPr>
          <w:p w14:paraId="664EA1F2" w14:textId="77777777" w:rsidR="004874BF" w:rsidRPr="007B70B7" w:rsidRDefault="004874BF" w:rsidP="00060C3E">
            <w:pPr>
              <w:rPr>
                <w:color w:val="002060"/>
                <w:sz w:val="20"/>
              </w:rPr>
            </w:pPr>
            <w:r w:rsidRPr="007B70B7">
              <w:rPr>
                <w:color w:val="002060"/>
                <w:sz w:val="20"/>
              </w:rPr>
              <w:t>Coal</w:t>
            </w:r>
          </w:p>
        </w:tc>
        <w:tc>
          <w:tcPr>
            <w:tcW w:w="1382" w:type="dxa"/>
            <w:shd w:val="clear" w:color="auto" w:fill="F2F2F2" w:themeFill="background1" w:themeFillShade="F2"/>
            <w:noWrap/>
            <w:hideMark/>
          </w:tcPr>
          <w:p w14:paraId="71A7B49A" w14:textId="77777777" w:rsidR="004874BF" w:rsidRPr="007B70B7" w:rsidRDefault="004874BF" w:rsidP="00060C3E">
            <w:pPr>
              <w:jc w:val="center"/>
              <w:rPr>
                <w:color w:val="002060"/>
                <w:sz w:val="20"/>
              </w:rPr>
            </w:pPr>
            <w:r w:rsidRPr="007B70B7">
              <w:rPr>
                <w:color w:val="002060"/>
                <w:sz w:val="20"/>
              </w:rPr>
              <w:t>336</w:t>
            </w:r>
          </w:p>
        </w:tc>
        <w:tc>
          <w:tcPr>
            <w:tcW w:w="1300" w:type="dxa"/>
            <w:shd w:val="clear" w:color="auto" w:fill="F2F2F2" w:themeFill="background1" w:themeFillShade="F2"/>
            <w:noWrap/>
            <w:hideMark/>
          </w:tcPr>
          <w:p w14:paraId="49C8632B" w14:textId="77777777" w:rsidR="004874BF" w:rsidRPr="007B70B7" w:rsidRDefault="004874BF" w:rsidP="00060C3E">
            <w:pPr>
              <w:jc w:val="center"/>
              <w:rPr>
                <w:color w:val="002060"/>
                <w:sz w:val="20"/>
              </w:rPr>
            </w:pPr>
            <w:r w:rsidRPr="007B70B7">
              <w:rPr>
                <w:color w:val="002060"/>
                <w:sz w:val="20"/>
              </w:rPr>
              <w:t>3 517 949</w:t>
            </w:r>
          </w:p>
        </w:tc>
        <w:tc>
          <w:tcPr>
            <w:tcW w:w="1393" w:type="dxa"/>
            <w:shd w:val="clear" w:color="auto" w:fill="F2F2F2" w:themeFill="background1" w:themeFillShade="F2"/>
            <w:noWrap/>
            <w:hideMark/>
          </w:tcPr>
          <w:p w14:paraId="27913FC4" w14:textId="77777777" w:rsidR="004874BF" w:rsidRPr="007B70B7" w:rsidRDefault="004874BF" w:rsidP="00060C3E">
            <w:pPr>
              <w:jc w:val="center"/>
              <w:rPr>
                <w:color w:val="002060"/>
                <w:sz w:val="20"/>
              </w:rPr>
            </w:pPr>
            <w:r w:rsidRPr="007B70B7">
              <w:rPr>
                <w:color w:val="002060"/>
                <w:sz w:val="20"/>
              </w:rPr>
              <w:t>377</w:t>
            </w:r>
          </w:p>
        </w:tc>
        <w:tc>
          <w:tcPr>
            <w:tcW w:w="1300" w:type="dxa"/>
            <w:shd w:val="clear" w:color="auto" w:fill="F2F2F2" w:themeFill="background1" w:themeFillShade="F2"/>
            <w:noWrap/>
            <w:hideMark/>
          </w:tcPr>
          <w:p w14:paraId="0A47FF33" w14:textId="77777777" w:rsidR="004874BF" w:rsidRPr="007B70B7" w:rsidRDefault="004874BF" w:rsidP="00060C3E">
            <w:pPr>
              <w:jc w:val="center"/>
              <w:rPr>
                <w:color w:val="002060"/>
                <w:sz w:val="20"/>
              </w:rPr>
            </w:pPr>
            <w:r w:rsidRPr="007B70B7">
              <w:rPr>
                <w:color w:val="002060"/>
                <w:sz w:val="20"/>
              </w:rPr>
              <w:t>1 804 330</w:t>
            </w:r>
          </w:p>
        </w:tc>
      </w:tr>
      <w:tr w:rsidR="004874BF" w:rsidRPr="005B50F6" w14:paraId="5BBB201D" w14:textId="77777777" w:rsidTr="00060C3E">
        <w:trPr>
          <w:trHeight w:val="300"/>
        </w:trPr>
        <w:tc>
          <w:tcPr>
            <w:tcW w:w="1420" w:type="dxa"/>
            <w:shd w:val="clear" w:color="auto" w:fill="F2F2F2" w:themeFill="background1" w:themeFillShade="F2"/>
            <w:noWrap/>
            <w:hideMark/>
          </w:tcPr>
          <w:p w14:paraId="7076709A" w14:textId="77777777" w:rsidR="004874BF" w:rsidRPr="007B70B7" w:rsidRDefault="004874BF" w:rsidP="00060C3E">
            <w:pPr>
              <w:rPr>
                <w:color w:val="002060"/>
                <w:sz w:val="20"/>
              </w:rPr>
            </w:pPr>
            <w:r w:rsidRPr="007B70B7">
              <w:rPr>
                <w:color w:val="002060"/>
                <w:sz w:val="20"/>
              </w:rPr>
              <w:t>Gas</w:t>
            </w:r>
            <w:r w:rsidRPr="007B70B7">
              <w:rPr>
                <w:rStyle w:val="FootnoteReference"/>
                <w:color w:val="002060"/>
                <w:sz w:val="20"/>
              </w:rPr>
              <w:footnoteReference w:id="2"/>
            </w:r>
          </w:p>
        </w:tc>
        <w:tc>
          <w:tcPr>
            <w:tcW w:w="1382" w:type="dxa"/>
            <w:shd w:val="clear" w:color="auto" w:fill="F2F2F2" w:themeFill="background1" w:themeFillShade="F2"/>
            <w:noWrap/>
            <w:hideMark/>
          </w:tcPr>
          <w:p w14:paraId="0ACAC1C1" w14:textId="77777777" w:rsidR="004874BF" w:rsidRPr="007B70B7" w:rsidRDefault="004874BF" w:rsidP="00060C3E">
            <w:pPr>
              <w:jc w:val="center"/>
              <w:rPr>
                <w:color w:val="002060"/>
                <w:sz w:val="20"/>
              </w:rPr>
            </w:pPr>
            <w:r w:rsidRPr="007B70B7">
              <w:rPr>
                <w:color w:val="002060"/>
                <w:sz w:val="20"/>
              </w:rPr>
              <w:t>23</w:t>
            </w:r>
          </w:p>
        </w:tc>
        <w:tc>
          <w:tcPr>
            <w:tcW w:w="1300" w:type="dxa"/>
            <w:shd w:val="clear" w:color="auto" w:fill="F2F2F2" w:themeFill="background1" w:themeFillShade="F2"/>
            <w:noWrap/>
            <w:hideMark/>
          </w:tcPr>
          <w:p w14:paraId="1F77BBB1" w14:textId="77777777" w:rsidR="004874BF" w:rsidRPr="007B70B7" w:rsidRDefault="004874BF" w:rsidP="00060C3E">
            <w:pPr>
              <w:jc w:val="center"/>
              <w:rPr>
                <w:color w:val="002060"/>
                <w:sz w:val="20"/>
              </w:rPr>
            </w:pPr>
            <w:r w:rsidRPr="007B70B7">
              <w:rPr>
                <w:color w:val="002060"/>
                <w:sz w:val="20"/>
              </w:rPr>
              <w:t>353 767</w:t>
            </w:r>
          </w:p>
        </w:tc>
        <w:tc>
          <w:tcPr>
            <w:tcW w:w="1393" w:type="dxa"/>
            <w:shd w:val="clear" w:color="auto" w:fill="F2F2F2" w:themeFill="background1" w:themeFillShade="F2"/>
            <w:noWrap/>
            <w:hideMark/>
          </w:tcPr>
          <w:p w14:paraId="4F684014" w14:textId="77777777" w:rsidR="004874BF" w:rsidRPr="007B70B7" w:rsidRDefault="004874BF" w:rsidP="00060C3E">
            <w:pPr>
              <w:jc w:val="center"/>
              <w:rPr>
                <w:color w:val="002060"/>
                <w:sz w:val="20"/>
              </w:rPr>
            </w:pPr>
            <w:r w:rsidRPr="007B70B7">
              <w:rPr>
                <w:color w:val="002060"/>
                <w:sz w:val="20"/>
              </w:rPr>
              <w:t>25</w:t>
            </w:r>
          </w:p>
        </w:tc>
        <w:tc>
          <w:tcPr>
            <w:tcW w:w="1300" w:type="dxa"/>
            <w:shd w:val="clear" w:color="auto" w:fill="F2F2F2" w:themeFill="background1" w:themeFillShade="F2"/>
            <w:noWrap/>
            <w:hideMark/>
          </w:tcPr>
          <w:p w14:paraId="6D6F23BE" w14:textId="77777777" w:rsidR="004874BF" w:rsidRPr="007B70B7" w:rsidRDefault="004874BF" w:rsidP="00060C3E">
            <w:pPr>
              <w:jc w:val="center"/>
              <w:rPr>
                <w:color w:val="002060"/>
                <w:sz w:val="20"/>
              </w:rPr>
            </w:pPr>
            <w:r w:rsidRPr="007B70B7">
              <w:rPr>
                <w:color w:val="002060"/>
                <w:sz w:val="20"/>
              </w:rPr>
              <w:t>2 055 578</w:t>
            </w:r>
          </w:p>
        </w:tc>
      </w:tr>
      <w:tr w:rsidR="004874BF" w:rsidRPr="005B50F6" w14:paraId="1FFE7CB4" w14:textId="77777777" w:rsidTr="00060C3E">
        <w:trPr>
          <w:trHeight w:val="300"/>
        </w:trPr>
        <w:tc>
          <w:tcPr>
            <w:tcW w:w="1420" w:type="dxa"/>
            <w:shd w:val="clear" w:color="auto" w:fill="F2F2F2" w:themeFill="background1" w:themeFillShade="F2"/>
            <w:noWrap/>
            <w:hideMark/>
          </w:tcPr>
          <w:p w14:paraId="34CBEE8C" w14:textId="77777777" w:rsidR="004874BF" w:rsidRPr="007B70B7" w:rsidRDefault="004874BF" w:rsidP="00060C3E">
            <w:pPr>
              <w:rPr>
                <w:color w:val="002060"/>
                <w:sz w:val="20"/>
              </w:rPr>
            </w:pPr>
            <w:r w:rsidRPr="007B70B7">
              <w:rPr>
                <w:color w:val="002060"/>
                <w:sz w:val="20"/>
              </w:rPr>
              <w:t>Petroleum</w:t>
            </w:r>
          </w:p>
        </w:tc>
        <w:tc>
          <w:tcPr>
            <w:tcW w:w="1382" w:type="dxa"/>
            <w:shd w:val="clear" w:color="auto" w:fill="F2F2F2" w:themeFill="background1" w:themeFillShade="F2"/>
            <w:noWrap/>
            <w:hideMark/>
          </w:tcPr>
          <w:p w14:paraId="0E8B4DEC" w14:textId="77777777" w:rsidR="004874BF" w:rsidRPr="007B70B7" w:rsidRDefault="004874BF" w:rsidP="00060C3E">
            <w:pPr>
              <w:jc w:val="center"/>
              <w:rPr>
                <w:color w:val="002060"/>
                <w:sz w:val="20"/>
              </w:rPr>
            </w:pPr>
            <w:r w:rsidRPr="007B70B7">
              <w:rPr>
                <w:color w:val="002060"/>
                <w:sz w:val="20"/>
              </w:rPr>
              <w:t>73</w:t>
            </w:r>
          </w:p>
        </w:tc>
        <w:tc>
          <w:tcPr>
            <w:tcW w:w="1300" w:type="dxa"/>
            <w:shd w:val="clear" w:color="auto" w:fill="F2F2F2" w:themeFill="background1" w:themeFillShade="F2"/>
            <w:noWrap/>
            <w:hideMark/>
          </w:tcPr>
          <w:p w14:paraId="11392124" w14:textId="77777777" w:rsidR="004874BF" w:rsidRPr="007B70B7" w:rsidRDefault="004874BF" w:rsidP="00060C3E">
            <w:pPr>
              <w:jc w:val="center"/>
              <w:rPr>
                <w:color w:val="002060"/>
                <w:sz w:val="20"/>
              </w:rPr>
            </w:pPr>
            <w:r w:rsidRPr="007B70B7">
              <w:rPr>
                <w:color w:val="002060"/>
                <w:sz w:val="20"/>
              </w:rPr>
              <w:t>1 008 948</w:t>
            </w:r>
          </w:p>
        </w:tc>
        <w:tc>
          <w:tcPr>
            <w:tcW w:w="1393" w:type="dxa"/>
            <w:shd w:val="clear" w:color="auto" w:fill="F2F2F2" w:themeFill="background1" w:themeFillShade="F2"/>
            <w:noWrap/>
            <w:hideMark/>
          </w:tcPr>
          <w:p w14:paraId="57B923B7" w14:textId="77777777" w:rsidR="004874BF" w:rsidRPr="007B70B7" w:rsidRDefault="004874BF" w:rsidP="00060C3E">
            <w:pPr>
              <w:jc w:val="center"/>
              <w:rPr>
                <w:color w:val="002060"/>
                <w:sz w:val="20"/>
              </w:rPr>
            </w:pPr>
            <w:r w:rsidRPr="007B70B7">
              <w:rPr>
                <w:color w:val="002060"/>
                <w:sz w:val="20"/>
              </w:rPr>
              <w:t>82</w:t>
            </w:r>
          </w:p>
        </w:tc>
        <w:tc>
          <w:tcPr>
            <w:tcW w:w="1300" w:type="dxa"/>
            <w:shd w:val="clear" w:color="auto" w:fill="F2F2F2" w:themeFill="background1" w:themeFillShade="F2"/>
            <w:noWrap/>
            <w:hideMark/>
          </w:tcPr>
          <w:p w14:paraId="749C01D0" w14:textId="77777777" w:rsidR="004874BF" w:rsidRPr="007B70B7" w:rsidRDefault="004874BF" w:rsidP="00060C3E">
            <w:pPr>
              <w:jc w:val="center"/>
              <w:rPr>
                <w:color w:val="002060"/>
                <w:sz w:val="20"/>
              </w:rPr>
            </w:pPr>
            <w:r w:rsidRPr="007B70B7">
              <w:rPr>
                <w:color w:val="002060"/>
                <w:sz w:val="20"/>
              </w:rPr>
              <w:t>1 607 768</w:t>
            </w:r>
          </w:p>
        </w:tc>
      </w:tr>
      <w:tr w:rsidR="004874BF" w:rsidRPr="005B50F6" w14:paraId="6976999A" w14:textId="77777777" w:rsidTr="00060C3E">
        <w:trPr>
          <w:trHeight w:val="300"/>
        </w:trPr>
        <w:tc>
          <w:tcPr>
            <w:tcW w:w="1420" w:type="dxa"/>
            <w:shd w:val="clear" w:color="auto" w:fill="D9D9D9" w:themeFill="background1" w:themeFillShade="D9"/>
            <w:noWrap/>
            <w:hideMark/>
          </w:tcPr>
          <w:p w14:paraId="0102CDDA" w14:textId="77777777" w:rsidR="004874BF" w:rsidRPr="007B70B7" w:rsidRDefault="004874BF" w:rsidP="00060C3E">
            <w:pPr>
              <w:rPr>
                <w:b/>
                <w:color w:val="002060"/>
                <w:sz w:val="20"/>
              </w:rPr>
            </w:pPr>
            <w:r w:rsidRPr="007B70B7">
              <w:rPr>
                <w:b/>
                <w:color w:val="002060"/>
                <w:sz w:val="20"/>
              </w:rPr>
              <w:t>Total</w:t>
            </w:r>
          </w:p>
        </w:tc>
        <w:tc>
          <w:tcPr>
            <w:tcW w:w="1382" w:type="dxa"/>
            <w:shd w:val="clear" w:color="auto" w:fill="D9D9D9" w:themeFill="background1" w:themeFillShade="D9"/>
            <w:noWrap/>
            <w:hideMark/>
          </w:tcPr>
          <w:p w14:paraId="639FCA1B" w14:textId="77777777" w:rsidR="004874BF" w:rsidRPr="007B70B7" w:rsidRDefault="004874BF" w:rsidP="00060C3E">
            <w:pPr>
              <w:jc w:val="center"/>
              <w:rPr>
                <w:b/>
                <w:color w:val="002060"/>
                <w:sz w:val="20"/>
              </w:rPr>
            </w:pPr>
            <w:r w:rsidRPr="007B70B7">
              <w:rPr>
                <w:b/>
                <w:color w:val="002060"/>
                <w:sz w:val="20"/>
              </w:rPr>
              <w:t>432</w:t>
            </w:r>
          </w:p>
        </w:tc>
        <w:tc>
          <w:tcPr>
            <w:tcW w:w="1300" w:type="dxa"/>
            <w:shd w:val="clear" w:color="auto" w:fill="D9D9D9" w:themeFill="background1" w:themeFillShade="D9"/>
            <w:noWrap/>
            <w:hideMark/>
          </w:tcPr>
          <w:p w14:paraId="04196A92" w14:textId="77777777" w:rsidR="004874BF" w:rsidRPr="007B70B7" w:rsidRDefault="004874BF" w:rsidP="00060C3E">
            <w:pPr>
              <w:jc w:val="center"/>
              <w:rPr>
                <w:b/>
                <w:color w:val="002060"/>
                <w:sz w:val="20"/>
              </w:rPr>
            </w:pPr>
            <w:r w:rsidRPr="007B70B7">
              <w:rPr>
                <w:b/>
                <w:color w:val="002060"/>
                <w:sz w:val="20"/>
              </w:rPr>
              <w:t>4 880 664</w:t>
            </w:r>
          </w:p>
        </w:tc>
        <w:tc>
          <w:tcPr>
            <w:tcW w:w="1393" w:type="dxa"/>
            <w:shd w:val="clear" w:color="auto" w:fill="D9D9D9" w:themeFill="background1" w:themeFillShade="D9"/>
            <w:noWrap/>
            <w:hideMark/>
          </w:tcPr>
          <w:p w14:paraId="5E1A0C2C" w14:textId="77777777" w:rsidR="004874BF" w:rsidRPr="007B70B7" w:rsidRDefault="004874BF" w:rsidP="00060C3E">
            <w:pPr>
              <w:jc w:val="center"/>
              <w:rPr>
                <w:b/>
                <w:color w:val="002060"/>
                <w:sz w:val="20"/>
              </w:rPr>
            </w:pPr>
            <w:r w:rsidRPr="007B70B7">
              <w:rPr>
                <w:b/>
                <w:color w:val="002060"/>
                <w:sz w:val="20"/>
              </w:rPr>
              <w:t>484</w:t>
            </w:r>
          </w:p>
        </w:tc>
        <w:tc>
          <w:tcPr>
            <w:tcW w:w="1300" w:type="dxa"/>
            <w:shd w:val="clear" w:color="auto" w:fill="D9D9D9" w:themeFill="background1" w:themeFillShade="D9"/>
            <w:noWrap/>
            <w:hideMark/>
          </w:tcPr>
          <w:p w14:paraId="2851E979" w14:textId="77777777" w:rsidR="004874BF" w:rsidRPr="007B70B7" w:rsidRDefault="004874BF" w:rsidP="00060C3E">
            <w:pPr>
              <w:jc w:val="center"/>
              <w:rPr>
                <w:b/>
                <w:color w:val="002060"/>
                <w:sz w:val="20"/>
              </w:rPr>
            </w:pPr>
            <w:r w:rsidRPr="007B70B7">
              <w:rPr>
                <w:b/>
                <w:color w:val="002060"/>
                <w:sz w:val="20"/>
              </w:rPr>
              <w:t>5 467 676</w:t>
            </w:r>
          </w:p>
        </w:tc>
      </w:tr>
    </w:tbl>
    <w:p w14:paraId="05EF9033" w14:textId="77777777" w:rsidR="004874BF" w:rsidRDefault="004874BF" w:rsidP="004874BF">
      <w:pPr>
        <w:spacing w:before="240" w:line="360" w:lineRule="auto"/>
        <w:rPr>
          <w:rFonts w:ascii="Arial" w:hAnsi="Arial"/>
        </w:rPr>
      </w:pPr>
    </w:p>
    <w:p w14:paraId="527BB38B" w14:textId="77777777" w:rsidR="004874BF" w:rsidRPr="004874BF" w:rsidRDefault="004874BF" w:rsidP="004874BF">
      <w:pPr>
        <w:spacing w:before="240" w:line="360" w:lineRule="auto"/>
        <w:rPr>
          <w:rFonts w:ascii="Calibri" w:hAnsi="Calibri" w:cs="Calibri"/>
        </w:rPr>
      </w:pPr>
      <w:r w:rsidRPr="004874BF">
        <w:rPr>
          <w:rFonts w:ascii="Calibri" w:hAnsi="Calibri" w:cs="Calibri"/>
        </w:rPr>
        <w:t xml:space="preserve">The disaggregated fuel use by sector is provided in Table </w:t>
      </w:r>
      <w:r w:rsidR="00060C3E">
        <w:rPr>
          <w:rFonts w:ascii="Calibri" w:hAnsi="Calibri" w:cs="Calibri"/>
        </w:rPr>
        <w:t>A1 in Appendix A</w:t>
      </w:r>
      <w:r w:rsidRPr="004874BF">
        <w:rPr>
          <w:rFonts w:ascii="Calibri" w:hAnsi="Calibri" w:cs="Calibri"/>
        </w:rPr>
        <w:t>.  In addition to the fuel use by sect</w:t>
      </w:r>
      <w:r w:rsidR="00060C3E">
        <w:rPr>
          <w:rFonts w:ascii="Calibri" w:hAnsi="Calibri" w:cs="Calibri"/>
        </w:rPr>
        <w:t xml:space="preserve">or, the information from Table </w:t>
      </w:r>
      <w:r w:rsidRPr="004874BF">
        <w:rPr>
          <w:rFonts w:ascii="Calibri" w:hAnsi="Calibri" w:cs="Calibri"/>
        </w:rPr>
        <w:t>2 can be used to calculate the effective tax rate when incorporating the published exemption thresholds. This is since a CO</w:t>
      </w:r>
      <w:r w:rsidRPr="00AB12A7">
        <w:rPr>
          <w:rFonts w:ascii="Calibri" w:hAnsi="Calibri" w:cs="Calibri"/>
          <w:vertAlign w:val="subscript"/>
        </w:rPr>
        <w:t>2</w:t>
      </w:r>
      <w:r w:rsidRPr="004874BF">
        <w:rPr>
          <w:rFonts w:ascii="Calibri" w:hAnsi="Calibri" w:cs="Calibri"/>
        </w:rPr>
        <w:t>/TJ coefficient can be estimated, which is 96 tCO</w:t>
      </w:r>
      <w:r w:rsidRPr="00AB12A7">
        <w:rPr>
          <w:rFonts w:ascii="Calibri" w:hAnsi="Calibri" w:cs="Calibri"/>
          <w:vertAlign w:val="subscript"/>
        </w:rPr>
        <w:t>2</w:t>
      </w:r>
      <w:r w:rsidRPr="004874BF">
        <w:rPr>
          <w:rFonts w:ascii="Calibri" w:hAnsi="Calibri" w:cs="Calibri"/>
        </w:rPr>
        <w:t>/TJ for coal, 64 tCO</w:t>
      </w:r>
      <w:r w:rsidRPr="00AB12A7">
        <w:rPr>
          <w:rFonts w:ascii="Calibri" w:hAnsi="Calibri" w:cs="Calibri"/>
          <w:vertAlign w:val="subscript"/>
        </w:rPr>
        <w:t>2</w:t>
      </w:r>
      <w:r w:rsidRPr="004874BF">
        <w:rPr>
          <w:rFonts w:ascii="Calibri" w:hAnsi="Calibri" w:cs="Calibri"/>
        </w:rPr>
        <w:t>/TJ for gas and 73 tCO</w:t>
      </w:r>
      <w:r w:rsidRPr="00AB12A7">
        <w:rPr>
          <w:rFonts w:ascii="Calibri" w:hAnsi="Calibri" w:cs="Calibri"/>
          <w:vertAlign w:val="subscript"/>
        </w:rPr>
        <w:t>2</w:t>
      </w:r>
      <w:r w:rsidRPr="004874BF">
        <w:rPr>
          <w:rFonts w:ascii="Calibri" w:hAnsi="Calibri" w:cs="Calibri"/>
        </w:rPr>
        <w:t>/TJ for petroleum respectively. The proposed carbon tax rate in 2016 is R120/tCO</w:t>
      </w:r>
      <w:r w:rsidRPr="00AB12A7">
        <w:rPr>
          <w:rFonts w:ascii="Calibri" w:hAnsi="Calibri" w:cs="Calibri"/>
          <w:vertAlign w:val="subscript"/>
        </w:rPr>
        <w:t>2</w:t>
      </w:r>
      <w:r w:rsidRPr="004874BF">
        <w:rPr>
          <w:rFonts w:ascii="Calibri" w:hAnsi="Calibri" w:cs="Calibri"/>
        </w:rPr>
        <w:t xml:space="preserve">, which allows for calculating </w:t>
      </w:r>
      <w:proofErr w:type="gramStart"/>
      <w:r w:rsidRPr="004874BF">
        <w:rPr>
          <w:rFonts w:ascii="Calibri" w:hAnsi="Calibri" w:cs="Calibri"/>
        </w:rPr>
        <w:t>a</w:t>
      </w:r>
      <w:proofErr w:type="gramEnd"/>
      <w:r w:rsidRPr="004874BF">
        <w:rPr>
          <w:rFonts w:ascii="Calibri" w:hAnsi="Calibri" w:cs="Calibri"/>
        </w:rPr>
        <w:t xml:space="preserve"> R/TJ tax rate. Applying the threshold exemption percentages, excluding that of offsets, shown in Table </w:t>
      </w:r>
      <w:r w:rsidR="00060C3E">
        <w:rPr>
          <w:rFonts w:ascii="Calibri" w:hAnsi="Calibri" w:cs="Calibri"/>
        </w:rPr>
        <w:t>3</w:t>
      </w:r>
      <w:r w:rsidRPr="004874BF">
        <w:rPr>
          <w:rFonts w:ascii="Calibri" w:hAnsi="Calibri" w:cs="Calibri"/>
        </w:rPr>
        <w:t>, provide the effectiv</w:t>
      </w:r>
      <w:r w:rsidR="00060C3E">
        <w:rPr>
          <w:rFonts w:ascii="Calibri" w:hAnsi="Calibri" w:cs="Calibri"/>
        </w:rPr>
        <w:t>e tax rates presented in Table A1</w:t>
      </w:r>
      <w:r w:rsidRPr="004874BF">
        <w:rPr>
          <w:rFonts w:ascii="Calibri" w:hAnsi="Calibri" w:cs="Calibri"/>
        </w:rPr>
        <w:t>. This was done to standardise the unit of measurement and the tax base in TJ, as the tax is a tax on fossil fuel consumption, yet the tax rate is expressed in R/tCO</w:t>
      </w:r>
      <w:r w:rsidRPr="00AB12A7">
        <w:rPr>
          <w:rFonts w:ascii="Calibri" w:hAnsi="Calibri" w:cs="Calibri"/>
          <w:vertAlign w:val="subscript"/>
        </w:rPr>
        <w:t>2</w:t>
      </w:r>
      <w:r w:rsidRPr="004874BF">
        <w:rPr>
          <w:rFonts w:ascii="Calibri" w:hAnsi="Calibri" w:cs="Calibri"/>
        </w:rPr>
        <w:t>. The standardisation in TJ thus allows for the differences in the emission coefficients of each fuel input. This database therefore allows for sector-specific fuel consumption levels, fuel and sector-specific emission factors and intensities, and sector-specific exemption thresholds. The use of an effective tax rate does not imply a change in the tax design, which is based on applying the full marginal tax rate (R120/tCO</w:t>
      </w:r>
      <w:r w:rsidRPr="00AB12A7">
        <w:rPr>
          <w:rFonts w:ascii="Calibri" w:hAnsi="Calibri" w:cs="Calibri"/>
          <w:vertAlign w:val="subscript"/>
        </w:rPr>
        <w:t>2</w:t>
      </w:r>
      <w:r w:rsidRPr="004874BF">
        <w:rPr>
          <w:rFonts w:ascii="Calibri" w:hAnsi="Calibri" w:cs="Calibri"/>
        </w:rPr>
        <w:t xml:space="preserve"> increasing at 10 percent per annum for the first five years, and then linked to inflation thereafter) to the non-exempted emissions, or the balance of the tax base. It is important to note that the 2011 energy use in TJ and the 2016 effective tax rates, provided in Table </w:t>
      </w:r>
      <w:r w:rsidR="00060C3E">
        <w:rPr>
          <w:rFonts w:ascii="Calibri" w:hAnsi="Calibri" w:cs="Calibri"/>
        </w:rPr>
        <w:t>A1</w:t>
      </w:r>
      <w:r w:rsidRPr="004874BF">
        <w:rPr>
          <w:rFonts w:ascii="Calibri" w:hAnsi="Calibri" w:cs="Calibri"/>
        </w:rPr>
        <w:t xml:space="preserve">, are exogenous variables. The tax payable in 2016 is endogenously derived by the model, by estimating a fuel use consumption level for 2016, taking into consideration the entire system-wide dynamics of the economy, model design, database, and closure rules as discussed herein.  </w:t>
      </w:r>
    </w:p>
    <w:p w14:paraId="6EA3AC1E" w14:textId="77777777" w:rsidR="004874BF" w:rsidRPr="00BC30CC" w:rsidRDefault="004874BF" w:rsidP="004874BF">
      <w:pPr>
        <w:pStyle w:val="Caption"/>
        <w:keepNext/>
        <w:tabs>
          <w:tab w:val="left" w:pos="993"/>
        </w:tabs>
        <w:rPr>
          <w:color w:val="auto"/>
          <w:sz w:val="22"/>
          <w:szCs w:val="22"/>
        </w:rPr>
      </w:pPr>
      <w:bookmarkStart w:id="9" w:name="_Toc398236595"/>
      <w:bookmarkStart w:id="10" w:name="_Toc398236703"/>
      <w:bookmarkStart w:id="11" w:name="_Toc398236763"/>
      <w:bookmarkStart w:id="12" w:name="_Toc399860283"/>
      <w:bookmarkStart w:id="13" w:name="_Toc399860401"/>
      <w:r w:rsidRPr="00BC30CC">
        <w:rPr>
          <w:color w:val="auto"/>
          <w:sz w:val="22"/>
          <w:szCs w:val="22"/>
        </w:rPr>
        <w:lastRenderedPageBreak/>
        <w:t xml:space="preserve">Table </w:t>
      </w:r>
      <w:r w:rsidR="00BC30CC" w:rsidRPr="00BC30CC">
        <w:rPr>
          <w:color w:val="auto"/>
          <w:sz w:val="22"/>
          <w:szCs w:val="22"/>
        </w:rPr>
        <w:t>3</w:t>
      </w:r>
      <w:r w:rsidRPr="00BC30CC">
        <w:rPr>
          <w:color w:val="auto"/>
          <w:sz w:val="22"/>
          <w:szCs w:val="22"/>
        </w:rPr>
        <w:t xml:space="preserve">: </w:t>
      </w:r>
      <w:r w:rsidRPr="00BC30CC">
        <w:rPr>
          <w:color w:val="auto"/>
          <w:sz w:val="22"/>
          <w:szCs w:val="22"/>
        </w:rPr>
        <w:tab/>
        <w:t>Proposed emissions tax free thresholds.</w:t>
      </w:r>
      <w:bookmarkEnd w:id="9"/>
      <w:bookmarkEnd w:id="10"/>
      <w:bookmarkEnd w:id="11"/>
      <w:bookmarkEnd w:id="12"/>
      <w:bookmarkEnd w:id="13"/>
    </w:p>
    <w:tbl>
      <w:tblPr>
        <w:tblW w:w="941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2F2F2" w:themeFill="background1" w:themeFillShade="F2"/>
        <w:tblLayout w:type="fixed"/>
        <w:tblLook w:val="04A0" w:firstRow="1" w:lastRow="0" w:firstColumn="1" w:lastColumn="0" w:noHBand="0" w:noVBand="1"/>
      </w:tblPr>
      <w:tblGrid>
        <w:gridCol w:w="2376"/>
        <w:gridCol w:w="1276"/>
        <w:gridCol w:w="1872"/>
        <w:gridCol w:w="1814"/>
        <w:gridCol w:w="879"/>
        <w:gridCol w:w="1196"/>
      </w:tblGrid>
      <w:tr w:rsidR="004874BF" w:rsidRPr="00FB35E4" w14:paraId="695F5E1D" w14:textId="77777777" w:rsidTr="00060C3E">
        <w:tc>
          <w:tcPr>
            <w:tcW w:w="2376" w:type="dxa"/>
            <w:shd w:val="clear" w:color="auto" w:fill="D9D9D9" w:themeFill="background1" w:themeFillShade="D9"/>
          </w:tcPr>
          <w:p w14:paraId="180EE5D3" w14:textId="77777777" w:rsidR="004874BF" w:rsidRPr="00FB35E4" w:rsidRDefault="004874BF" w:rsidP="00060C3E">
            <w:pPr>
              <w:jc w:val="center"/>
              <w:rPr>
                <w:b/>
                <w:color w:val="002060"/>
                <w:sz w:val="20"/>
              </w:rPr>
            </w:pPr>
            <w:r w:rsidRPr="00FB35E4">
              <w:rPr>
                <w:b/>
                <w:color w:val="002060"/>
                <w:sz w:val="20"/>
              </w:rPr>
              <w:t>Sector</w:t>
            </w:r>
          </w:p>
        </w:tc>
        <w:tc>
          <w:tcPr>
            <w:tcW w:w="1276" w:type="dxa"/>
            <w:shd w:val="clear" w:color="auto" w:fill="D9D9D9" w:themeFill="background1" w:themeFillShade="D9"/>
          </w:tcPr>
          <w:p w14:paraId="0E938AED" w14:textId="77777777" w:rsidR="004874BF" w:rsidRPr="00FB35E4" w:rsidRDefault="004874BF" w:rsidP="00060C3E">
            <w:pPr>
              <w:jc w:val="center"/>
              <w:rPr>
                <w:b/>
                <w:color w:val="002060"/>
                <w:sz w:val="20"/>
              </w:rPr>
            </w:pPr>
            <w:r w:rsidRPr="00FB35E4">
              <w:rPr>
                <w:b/>
                <w:color w:val="002060"/>
                <w:sz w:val="20"/>
              </w:rPr>
              <w:t>Basic tax free threshold (%)</w:t>
            </w:r>
          </w:p>
        </w:tc>
        <w:tc>
          <w:tcPr>
            <w:tcW w:w="1872" w:type="dxa"/>
            <w:shd w:val="clear" w:color="auto" w:fill="D9D9D9" w:themeFill="background1" w:themeFillShade="D9"/>
          </w:tcPr>
          <w:p w14:paraId="4D454D36" w14:textId="77777777" w:rsidR="004874BF" w:rsidRPr="00FB35E4" w:rsidRDefault="004874BF" w:rsidP="00060C3E">
            <w:pPr>
              <w:jc w:val="center"/>
              <w:rPr>
                <w:b/>
                <w:color w:val="002060"/>
                <w:sz w:val="20"/>
              </w:rPr>
            </w:pPr>
            <w:r w:rsidRPr="00FB35E4">
              <w:rPr>
                <w:b/>
                <w:color w:val="002060"/>
                <w:sz w:val="20"/>
              </w:rPr>
              <w:t>Maximum additional allowance for trade exposure (%)</w:t>
            </w:r>
          </w:p>
        </w:tc>
        <w:tc>
          <w:tcPr>
            <w:tcW w:w="1814" w:type="dxa"/>
            <w:shd w:val="clear" w:color="auto" w:fill="D9D9D9" w:themeFill="background1" w:themeFillShade="D9"/>
          </w:tcPr>
          <w:p w14:paraId="76AFE369" w14:textId="77777777" w:rsidR="004874BF" w:rsidRPr="00FB35E4" w:rsidRDefault="004874BF" w:rsidP="00060C3E">
            <w:pPr>
              <w:jc w:val="center"/>
              <w:rPr>
                <w:b/>
                <w:color w:val="002060"/>
                <w:sz w:val="20"/>
              </w:rPr>
            </w:pPr>
            <w:r w:rsidRPr="00FB35E4">
              <w:rPr>
                <w:b/>
                <w:color w:val="002060"/>
                <w:sz w:val="20"/>
              </w:rPr>
              <w:t>Additional allowance for process emissions (%)</w:t>
            </w:r>
          </w:p>
        </w:tc>
        <w:tc>
          <w:tcPr>
            <w:tcW w:w="879" w:type="dxa"/>
            <w:shd w:val="clear" w:color="auto" w:fill="D9D9D9" w:themeFill="background1" w:themeFillShade="D9"/>
          </w:tcPr>
          <w:p w14:paraId="54B42855" w14:textId="77777777" w:rsidR="004874BF" w:rsidRPr="00FB35E4" w:rsidRDefault="004874BF" w:rsidP="00060C3E">
            <w:pPr>
              <w:jc w:val="center"/>
              <w:rPr>
                <w:b/>
                <w:color w:val="002060"/>
                <w:sz w:val="20"/>
              </w:rPr>
            </w:pPr>
            <w:r w:rsidRPr="00FB35E4">
              <w:rPr>
                <w:b/>
                <w:color w:val="002060"/>
                <w:sz w:val="20"/>
              </w:rPr>
              <w:t>Total (%)</w:t>
            </w:r>
          </w:p>
          <w:p w14:paraId="1E7C2204" w14:textId="77777777" w:rsidR="004874BF" w:rsidRPr="00FB35E4" w:rsidRDefault="004874BF" w:rsidP="00060C3E">
            <w:pPr>
              <w:jc w:val="center"/>
              <w:rPr>
                <w:b/>
                <w:color w:val="002060"/>
                <w:sz w:val="20"/>
              </w:rPr>
            </w:pPr>
          </w:p>
          <w:p w14:paraId="1B31C4D4" w14:textId="77777777" w:rsidR="004874BF" w:rsidRPr="00FB35E4" w:rsidRDefault="004874BF" w:rsidP="00060C3E">
            <w:pPr>
              <w:jc w:val="center"/>
              <w:rPr>
                <w:b/>
                <w:color w:val="002060"/>
                <w:sz w:val="20"/>
              </w:rPr>
            </w:pPr>
            <w:r w:rsidRPr="00FB35E4">
              <w:rPr>
                <w:b/>
                <w:color w:val="002060"/>
                <w:sz w:val="20"/>
              </w:rPr>
              <w:t>(Col 5)</w:t>
            </w:r>
          </w:p>
        </w:tc>
        <w:tc>
          <w:tcPr>
            <w:tcW w:w="1196" w:type="dxa"/>
            <w:shd w:val="clear" w:color="auto" w:fill="D9D9D9" w:themeFill="background1" w:themeFillShade="D9"/>
          </w:tcPr>
          <w:p w14:paraId="5F58B688" w14:textId="77777777" w:rsidR="004874BF" w:rsidRPr="00FB35E4" w:rsidRDefault="004874BF" w:rsidP="00060C3E">
            <w:pPr>
              <w:jc w:val="center"/>
              <w:rPr>
                <w:b/>
                <w:color w:val="002060"/>
                <w:sz w:val="20"/>
              </w:rPr>
            </w:pPr>
            <w:r w:rsidRPr="00FB35E4">
              <w:rPr>
                <w:b/>
                <w:color w:val="002060"/>
                <w:sz w:val="20"/>
              </w:rPr>
              <w:t xml:space="preserve">Maximum </w:t>
            </w:r>
            <w:r>
              <w:rPr>
                <w:b/>
                <w:color w:val="002060"/>
                <w:sz w:val="20"/>
              </w:rPr>
              <w:t>offset</w:t>
            </w:r>
            <w:r w:rsidRPr="00FB35E4">
              <w:rPr>
                <w:b/>
                <w:color w:val="002060"/>
                <w:sz w:val="20"/>
              </w:rPr>
              <w:t xml:space="preserve"> (%)</w:t>
            </w:r>
          </w:p>
        </w:tc>
      </w:tr>
      <w:tr w:rsidR="004874BF" w:rsidRPr="00FB35E4" w14:paraId="30C7D8BA" w14:textId="77777777" w:rsidTr="00060C3E">
        <w:tc>
          <w:tcPr>
            <w:tcW w:w="2376" w:type="dxa"/>
            <w:shd w:val="clear" w:color="auto" w:fill="F2F2F2" w:themeFill="background1" w:themeFillShade="F2"/>
          </w:tcPr>
          <w:p w14:paraId="0AAA6F28" w14:textId="77777777" w:rsidR="004874BF" w:rsidRPr="00FB35E4" w:rsidRDefault="004874BF" w:rsidP="00060C3E">
            <w:pPr>
              <w:rPr>
                <w:color w:val="002060"/>
                <w:sz w:val="20"/>
              </w:rPr>
            </w:pPr>
            <w:r w:rsidRPr="00FB35E4">
              <w:rPr>
                <w:color w:val="002060"/>
                <w:sz w:val="20"/>
              </w:rPr>
              <w:t>Electricity</w:t>
            </w:r>
          </w:p>
        </w:tc>
        <w:tc>
          <w:tcPr>
            <w:tcW w:w="1276" w:type="dxa"/>
            <w:shd w:val="clear" w:color="auto" w:fill="F2F2F2" w:themeFill="background1" w:themeFillShade="F2"/>
          </w:tcPr>
          <w:p w14:paraId="4777053B" w14:textId="77777777" w:rsidR="004874BF" w:rsidRPr="00FB35E4" w:rsidRDefault="004874BF" w:rsidP="00060C3E">
            <w:pPr>
              <w:jc w:val="center"/>
              <w:rPr>
                <w:color w:val="002060"/>
                <w:sz w:val="20"/>
              </w:rPr>
            </w:pPr>
            <w:r w:rsidRPr="00FB35E4">
              <w:rPr>
                <w:color w:val="002060"/>
                <w:sz w:val="20"/>
              </w:rPr>
              <w:t>60</w:t>
            </w:r>
          </w:p>
        </w:tc>
        <w:tc>
          <w:tcPr>
            <w:tcW w:w="1872" w:type="dxa"/>
            <w:shd w:val="clear" w:color="auto" w:fill="F2F2F2" w:themeFill="background1" w:themeFillShade="F2"/>
          </w:tcPr>
          <w:p w14:paraId="3C108F03" w14:textId="77777777" w:rsidR="004874BF" w:rsidRPr="00FB35E4" w:rsidRDefault="004874BF" w:rsidP="00060C3E">
            <w:pPr>
              <w:jc w:val="center"/>
              <w:rPr>
                <w:color w:val="002060"/>
                <w:sz w:val="20"/>
              </w:rPr>
            </w:pPr>
            <w:r w:rsidRPr="00FB35E4">
              <w:rPr>
                <w:color w:val="002060"/>
                <w:sz w:val="20"/>
              </w:rPr>
              <w:t>-</w:t>
            </w:r>
          </w:p>
        </w:tc>
        <w:tc>
          <w:tcPr>
            <w:tcW w:w="1814" w:type="dxa"/>
            <w:shd w:val="clear" w:color="auto" w:fill="F2F2F2" w:themeFill="background1" w:themeFillShade="F2"/>
          </w:tcPr>
          <w:p w14:paraId="624B331D" w14:textId="77777777" w:rsidR="004874BF" w:rsidRPr="00FB35E4" w:rsidRDefault="004874BF" w:rsidP="00060C3E">
            <w:pPr>
              <w:jc w:val="center"/>
              <w:rPr>
                <w:color w:val="002060"/>
                <w:sz w:val="20"/>
              </w:rPr>
            </w:pPr>
            <w:r w:rsidRPr="00FB35E4">
              <w:rPr>
                <w:color w:val="002060"/>
                <w:sz w:val="20"/>
              </w:rPr>
              <w:t>-</w:t>
            </w:r>
          </w:p>
        </w:tc>
        <w:tc>
          <w:tcPr>
            <w:tcW w:w="879" w:type="dxa"/>
            <w:shd w:val="clear" w:color="auto" w:fill="F2F2F2" w:themeFill="background1" w:themeFillShade="F2"/>
          </w:tcPr>
          <w:p w14:paraId="79F4D53F" w14:textId="77777777" w:rsidR="004874BF" w:rsidRPr="00FB35E4" w:rsidRDefault="004874BF" w:rsidP="00060C3E">
            <w:pPr>
              <w:jc w:val="center"/>
              <w:rPr>
                <w:color w:val="002060"/>
                <w:sz w:val="20"/>
              </w:rPr>
            </w:pPr>
            <w:r w:rsidRPr="00FB35E4">
              <w:rPr>
                <w:color w:val="002060"/>
                <w:sz w:val="20"/>
              </w:rPr>
              <w:t>60</w:t>
            </w:r>
          </w:p>
        </w:tc>
        <w:tc>
          <w:tcPr>
            <w:tcW w:w="1196" w:type="dxa"/>
            <w:shd w:val="clear" w:color="auto" w:fill="F2F2F2" w:themeFill="background1" w:themeFillShade="F2"/>
          </w:tcPr>
          <w:p w14:paraId="40A5B970" w14:textId="77777777" w:rsidR="004874BF" w:rsidRPr="00FB35E4" w:rsidRDefault="004874BF" w:rsidP="00060C3E">
            <w:pPr>
              <w:jc w:val="center"/>
              <w:rPr>
                <w:color w:val="002060"/>
                <w:sz w:val="20"/>
              </w:rPr>
            </w:pPr>
            <w:r w:rsidRPr="00FB35E4">
              <w:rPr>
                <w:color w:val="002060"/>
                <w:sz w:val="20"/>
              </w:rPr>
              <w:t>10</w:t>
            </w:r>
          </w:p>
        </w:tc>
      </w:tr>
      <w:tr w:rsidR="004874BF" w:rsidRPr="00FB35E4" w14:paraId="5E64270E" w14:textId="77777777" w:rsidTr="00060C3E">
        <w:tc>
          <w:tcPr>
            <w:tcW w:w="2376" w:type="dxa"/>
            <w:shd w:val="clear" w:color="auto" w:fill="F2F2F2" w:themeFill="background1" w:themeFillShade="F2"/>
          </w:tcPr>
          <w:p w14:paraId="7DD225A4" w14:textId="77777777" w:rsidR="004874BF" w:rsidRPr="00FB35E4" w:rsidRDefault="004874BF" w:rsidP="00060C3E">
            <w:pPr>
              <w:rPr>
                <w:color w:val="002060"/>
                <w:sz w:val="20"/>
              </w:rPr>
            </w:pPr>
            <w:r w:rsidRPr="00FB35E4">
              <w:rPr>
                <w:color w:val="002060"/>
                <w:sz w:val="20"/>
              </w:rPr>
              <w:t>Petroleum</w:t>
            </w:r>
          </w:p>
        </w:tc>
        <w:tc>
          <w:tcPr>
            <w:tcW w:w="1276" w:type="dxa"/>
            <w:shd w:val="clear" w:color="auto" w:fill="F2F2F2" w:themeFill="background1" w:themeFillShade="F2"/>
          </w:tcPr>
          <w:p w14:paraId="01FB0F20" w14:textId="77777777" w:rsidR="004874BF" w:rsidRPr="00FB35E4" w:rsidRDefault="004874BF" w:rsidP="00060C3E">
            <w:pPr>
              <w:jc w:val="center"/>
              <w:rPr>
                <w:color w:val="002060"/>
                <w:sz w:val="20"/>
              </w:rPr>
            </w:pPr>
            <w:r w:rsidRPr="00FB35E4">
              <w:rPr>
                <w:color w:val="002060"/>
                <w:sz w:val="20"/>
              </w:rPr>
              <w:t>60</w:t>
            </w:r>
          </w:p>
        </w:tc>
        <w:tc>
          <w:tcPr>
            <w:tcW w:w="1872" w:type="dxa"/>
            <w:shd w:val="clear" w:color="auto" w:fill="F2F2F2" w:themeFill="background1" w:themeFillShade="F2"/>
          </w:tcPr>
          <w:p w14:paraId="177FEC8F" w14:textId="77777777" w:rsidR="004874BF" w:rsidRPr="00FB35E4" w:rsidRDefault="004874BF" w:rsidP="00060C3E">
            <w:pPr>
              <w:jc w:val="center"/>
              <w:rPr>
                <w:color w:val="002060"/>
                <w:sz w:val="20"/>
              </w:rPr>
            </w:pPr>
            <w:r w:rsidRPr="00FB35E4">
              <w:rPr>
                <w:color w:val="002060"/>
                <w:sz w:val="20"/>
              </w:rPr>
              <w:t>10</w:t>
            </w:r>
          </w:p>
        </w:tc>
        <w:tc>
          <w:tcPr>
            <w:tcW w:w="1814" w:type="dxa"/>
            <w:shd w:val="clear" w:color="auto" w:fill="F2F2F2" w:themeFill="background1" w:themeFillShade="F2"/>
          </w:tcPr>
          <w:p w14:paraId="21A2EAB1" w14:textId="77777777" w:rsidR="004874BF" w:rsidRPr="00FB35E4" w:rsidRDefault="004874BF" w:rsidP="00060C3E">
            <w:pPr>
              <w:jc w:val="center"/>
              <w:rPr>
                <w:color w:val="002060"/>
                <w:sz w:val="20"/>
              </w:rPr>
            </w:pPr>
            <w:r w:rsidRPr="00FB35E4">
              <w:rPr>
                <w:color w:val="002060"/>
                <w:sz w:val="20"/>
              </w:rPr>
              <w:t>-</w:t>
            </w:r>
          </w:p>
        </w:tc>
        <w:tc>
          <w:tcPr>
            <w:tcW w:w="879" w:type="dxa"/>
            <w:shd w:val="clear" w:color="auto" w:fill="F2F2F2" w:themeFill="background1" w:themeFillShade="F2"/>
          </w:tcPr>
          <w:p w14:paraId="02125063" w14:textId="77777777" w:rsidR="004874BF" w:rsidRPr="00FB35E4" w:rsidRDefault="004874BF" w:rsidP="00060C3E">
            <w:pPr>
              <w:jc w:val="center"/>
              <w:rPr>
                <w:color w:val="002060"/>
                <w:sz w:val="20"/>
              </w:rPr>
            </w:pPr>
            <w:r w:rsidRPr="00FB35E4">
              <w:rPr>
                <w:color w:val="002060"/>
                <w:sz w:val="20"/>
              </w:rPr>
              <w:t>70</w:t>
            </w:r>
          </w:p>
        </w:tc>
        <w:tc>
          <w:tcPr>
            <w:tcW w:w="1196" w:type="dxa"/>
            <w:shd w:val="clear" w:color="auto" w:fill="F2F2F2" w:themeFill="background1" w:themeFillShade="F2"/>
          </w:tcPr>
          <w:p w14:paraId="13A28F67" w14:textId="77777777" w:rsidR="004874BF" w:rsidRPr="00FB35E4" w:rsidRDefault="004874BF" w:rsidP="00060C3E">
            <w:pPr>
              <w:jc w:val="center"/>
              <w:rPr>
                <w:color w:val="002060"/>
                <w:sz w:val="20"/>
              </w:rPr>
            </w:pPr>
            <w:r w:rsidRPr="00FB35E4">
              <w:rPr>
                <w:color w:val="002060"/>
                <w:sz w:val="20"/>
              </w:rPr>
              <w:t>10</w:t>
            </w:r>
          </w:p>
        </w:tc>
      </w:tr>
      <w:tr w:rsidR="004874BF" w:rsidRPr="00FB35E4" w14:paraId="595582D1" w14:textId="77777777" w:rsidTr="00060C3E">
        <w:tc>
          <w:tcPr>
            <w:tcW w:w="2376" w:type="dxa"/>
            <w:shd w:val="clear" w:color="auto" w:fill="F2F2F2" w:themeFill="background1" w:themeFillShade="F2"/>
          </w:tcPr>
          <w:p w14:paraId="433B1D40" w14:textId="77777777" w:rsidR="004874BF" w:rsidRPr="00FB35E4" w:rsidRDefault="004874BF" w:rsidP="00060C3E">
            <w:pPr>
              <w:rPr>
                <w:color w:val="002060"/>
                <w:sz w:val="20"/>
              </w:rPr>
            </w:pPr>
            <w:r>
              <w:rPr>
                <w:color w:val="002060"/>
                <w:sz w:val="20"/>
              </w:rPr>
              <w:t>Iron and</w:t>
            </w:r>
            <w:r w:rsidRPr="00FB35E4">
              <w:rPr>
                <w:color w:val="002060"/>
                <w:sz w:val="20"/>
              </w:rPr>
              <w:t xml:space="preserve"> Steel</w:t>
            </w:r>
          </w:p>
        </w:tc>
        <w:tc>
          <w:tcPr>
            <w:tcW w:w="1276" w:type="dxa"/>
            <w:shd w:val="clear" w:color="auto" w:fill="F2F2F2" w:themeFill="background1" w:themeFillShade="F2"/>
          </w:tcPr>
          <w:p w14:paraId="4DDDFFEF" w14:textId="77777777" w:rsidR="004874BF" w:rsidRPr="00FB35E4" w:rsidRDefault="004874BF" w:rsidP="00060C3E">
            <w:pPr>
              <w:jc w:val="center"/>
              <w:rPr>
                <w:color w:val="002060"/>
                <w:sz w:val="20"/>
              </w:rPr>
            </w:pPr>
            <w:r w:rsidRPr="00FB35E4">
              <w:rPr>
                <w:color w:val="002060"/>
                <w:sz w:val="20"/>
              </w:rPr>
              <w:t>60</w:t>
            </w:r>
          </w:p>
        </w:tc>
        <w:tc>
          <w:tcPr>
            <w:tcW w:w="1872" w:type="dxa"/>
            <w:shd w:val="clear" w:color="auto" w:fill="F2F2F2" w:themeFill="background1" w:themeFillShade="F2"/>
          </w:tcPr>
          <w:p w14:paraId="58B04BF0" w14:textId="77777777" w:rsidR="004874BF" w:rsidRPr="00FB35E4" w:rsidRDefault="004874BF" w:rsidP="00060C3E">
            <w:pPr>
              <w:jc w:val="center"/>
              <w:rPr>
                <w:color w:val="002060"/>
                <w:sz w:val="20"/>
              </w:rPr>
            </w:pPr>
            <w:r w:rsidRPr="00FB35E4">
              <w:rPr>
                <w:color w:val="002060"/>
                <w:sz w:val="20"/>
              </w:rPr>
              <w:t>10</w:t>
            </w:r>
          </w:p>
        </w:tc>
        <w:tc>
          <w:tcPr>
            <w:tcW w:w="1814" w:type="dxa"/>
            <w:shd w:val="clear" w:color="auto" w:fill="F2F2F2" w:themeFill="background1" w:themeFillShade="F2"/>
          </w:tcPr>
          <w:p w14:paraId="7E5E2767" w14:textId="77777777" w:rsidR="004874BF" w:rsidRPr="00FB35E4" w:rsidRDefault="004874BF" w:rsidP="00060C3E">
            <w:pPr>
              <w:jc w:val="center"/>
              <w:rPr>
                <w:color w:val="002060"/>
                <w:sz w:val="20"/>
              </w:rPr>
            </w:pPr>
            <w:r w:rsidRPr="00FB35E4">
              <w:rPr>
                <w:color w:val="002060"/>
                <w:sz w:val="20"/>
              </w:rPr>
              <w:t>10</w:t>
            </w:r>
          </w:p>
        </w:tc>
        <w:tc>
          <w:tcPr>
            <w:tcW w:w="879" w:type="dxa"/>
            <w:shd w:val="clear" w:color="auto" w:fill="F2F2F2" w:themeFill="background1" w:themeFillShade="F2"/>
          </w:tcPr>
          <w:p w14:paraId="7D1A85DD" w14:textId="77777777" w:rsidR="004874BF" w:rsidRPr="00FB35E4" w:rsidRDefault="004874BF" w:rsidP="00060C3E">
            <w:pPr>
              <w:jc w:val="center"/>
              <w:rPr>
                <w:color w:val="002060"/>
                <w:sz w:val="20"/>
              </w:rPr>
            </w:pPr>
            <w:r w:rsidRPr="00FB35E4">
              <w:rPr>
                <w:color w:val="002060"/>
                <w:sz w:val="20"/>
              </w:rPr>
              <w:t>80</w:t>
            </w:r>
          </w:p>
        </w:tc>
        <w:tc>
          <w:tcPr>
            <w:tcW w:w="1196" w:type="dxa"/>
            <w:shd w:val="clear" w:color="auto" w:fill="F2F2F2" w:themeFill="background1" w:themeFillShade="F2"/>
          </w:tcPr>
          <w:p w14:paraId="7D8E5B67" w14:textId="77777777" w:rsidR="004874BF" w:rsidRPr="00FB35E4" w:rsidRDefault="004874BF" w:rsidP="00060C3E">
            <w:pPr>
              <w:jc w:val="center"/>
              <w:rPr>
                <w:color w:val="002060"/>
                <w:sz w:val="20"/>
              </w:rPr>
            </w:pPr>
            <w:r w:rsidRPr="00FB35E4">
              <w:rPr>
                <w:color w:val="002060"/>
                <w:sz w:val="20"/>
              </w:rPr>
              <w:t>5</w:t>
            </w:r>
          </w:p>
        </w:tc>
      </w:tr>
      <w:tr w:rsidR="004874BF" w:rsidRPr="00FB35E4" w14:paraId="3D0C152B" w14:textId="77777777" w:rsidTr="00060C3E">
        <w:tc>
          <w:tcPr>
            <w:tcW w:w="2376" w:type="dxa"/>
            <w:shd w:val="clear" w:color="auto" w:fill="F2F2F2" w:themeFill="background1" w:themeFillShade="F2"/>
          </w:tcPr>
          <w:p w14:paraId="40886444" w14:textId="77777777" w:rsidR="004874BF" w:rsidRPr="00FB35E4" w:rsidRDefault="004874BF" w:rsidP="00060C3E">
            <w:pPr>
              <w:rPr>
                <w:color w:val="002060"/>
                <w:sz w:val="20"/>
              </w:rPr>
            </w:pPr>
            <w:r w:rsidRPr="00FB35E4">
              <w:rPr>
                <w:color w:val="002060"/>
                <w:sz w:val="20"/>
              </w:rPr>
              <w:t>Cement</w:t>
            </w:r>
          </w:p>
        </w:tc>
        <w:tc>
          <w:tcPr>
            <w:tcW w:w="1276" w:type="dxa"/>
            <w:shd w:val="clear" w:color="auto" w:fill="F2F2F2" w:themeFill="background1" w:themeFillShade="F2"/>
          </w:tcPr>
          <w:p w14:paraId="4B7B6476" w14:textId="77777777" w:rsidR="004874BF" w:rsidRPr="00FB35E4" w:rsidRDefault="004874BF" w:rsidP="00060C3E">
            <w:pPr>
              <w:jc w:val="center"/>
              <w:rPr>
                <w:color w:val="002060"/>
                <w:sz w:val="20"/>
              </w:rPr>
            </w:pPr>
            <w:r w:rsidRPr="00FB35E4">
              <w:rPr>
                <w:color w:val="002060"/>
                <w:sz w:val="20"/>
              </w:rPr>
              <w:t>60</w:t>
            </w:r>
          </w:p>
        </w:tc>
        <w:tc>
          <w:tcPr>
            <w:tcW w:w="1872" w:type="dxa"/>
            <w:shd w:val="clear" w:color="auto" w:fill="F2F2F2" w:themeFill="background1" w:themeFillShade="F2"/>
          </w:tcPr>
          <w:p w14:paraId="57C9E1F3" w14:textId="77777777" w:rsidR="004874BF" w:rsidRPr="00FB35E4" w:rsidRDefault="004874BF" w:rsidP="00060C3E">
            <w:pPr>
              <w:jc w:val="center"/>
              <w:rPr>
                <w:color w:val="002060"/>
                <w:sz w:val="20"/>
              </w:rPr>
            </w:pPr>
            <w:r w:rsidRPr="00FB35E4">
              <w:rPr>
                <w:color w:val="002060"/>
                <w:sz w:val="20"/>
              </w:rPr>
              <w:t>10</w:t>
            </w:r>
          </w:p>
        </w:tc>
        <w:tc>
          <w:tcPr>
            <w:tcW w:w="1814" w:type="dxa"/>
            <w:shd w:val="clear" w:color="auto" w:fill="F2F2F2" w:themeFill="background1" w:themeFillShade="F2"/>
          </w:tcPr>
          <w:p w14:paraId="76EE145F" w14:textId="77777777" w:rsidR="004874BF" w:rsidRPr="00FB35E4" w:rsidRDefault="004874BF" w:rsidP="00060C3E">
            <w:pPr>
              <w:jc w:val="center"/>
              <w:rPr>
                <w:color w:val="002060"/>
                <w:sz w:val="20"/>
              </w:rPr>
            </w:pPr>
            <w:r w:rsidRPr="00FB35E4">
              <w:rPr>
                <w:color w:val="002060"/>
                <w:sz w:val="20"/>
              </w:rPr>
              <w:t>10</w:t>
            </w:r>
          </w:p>
        </w:tc>
        <w:tc>
          <w:tcPr>
            <w:tcW w:w="879" w:type="dxa"/>
            <w:shd w:val="clear" w:color="auto" w:fill="F2F2F2" w:themeFill="background1" w:themeFillShade="F2"/>
          </w:tcPr>
          <w:p w14:paraId="26906C56" w14:textId="77777777" w:rsidR="004874BF" w:rsidRPr="00FB35E4" w:rsidRDefault="004874BF" w:rsidP="00060C3E">
            <w:pPr>
              <w:jc w:val="center"/>
              <w:rPr>
                <w:color w:val="002060"/>
                <w:sz w:val="20"/>
              </w:rPr>
            </w:pPr>
            <w:r w:rsidRPr="00FB35E4">
              <w:rPr>
                <w:color w:val="002060"/>
                <w:sz w:val="20"/>
              </w:rPr>
              <w:t>80</w:t>
            </w:r>
          </w:p>
        </w:tc>
        <w:tc>
          <w:tcPr>
            <w:tcW w:w="1196" w:type="dxa"/>
            <w:shd w:val="clear" w:color="auto" w:fill="F2F2F2" w:themeFill="background1" w:themeFillShade="F2"/>
          </w:tcPr>
          <w:p w14:paraId="0D98E168" w14:textId="77777777" w:rsidR="004874BF" w:rsidRPr="00FB35E4" w:rsidRDefault="004874BF" w:rsidP="00060C3E">
            <w:pPr>
              <w:jc w:val="center"/>
              <w:rPr>
                <w:color w:val="002060"/>
                <w:sz w:val="20"/>
              </w:rPr>
            </w:pPr>
            <w:r w:rsidRPr="00FB35E4">
              <w:rPr>
                <w:color w:val="002060"/>
                <w:sz w:val="20"/>
              </w:rPr>
              <w:t>5</w:t>
            </w:r>
          </w:p>
        </w:tc>
      </w:tr>
      <w:tr w:rsidR="004874BF" w:rsidRPr="00FB35E4" w14:paraId="1E0A7A85" w14:textId="77777777" w:rsidTr="00060C3E">
        <w:tc>
          <w:tcPr>
            <w:tcW w:w="2376" w:type="dxa"/>
            <w:shd w:val="clear" w:color="auto" w:fill="F2F2F2" w:themeFill="background1" w:themeFillShade="F2"/>
          </w:tcPr>
          <w:p w14:paraId="1394E9EA" w14:textId="77777777" w:rsidR="004874BF" w:rsidRPr="00FB35E4" w:rsidRDefault="004874BF" w:rsidP="00060C3E">
            <w:pPr>
              <w:rPr>
                <w:color w:val="002060"/>
                <w:sz w:val="20"/>
              </w:rPr>
            </w:pPr>
            <w:r>
              <w:rPr>
                <w:color w:val="002060"/>
                <w:sz w:val="20"/>
              </w:rPr>
              <w:t>Glass and</w:t>
            </w:r>
            <w:r w:rsidRPr="00FB35E4">
              <w:rPr>
                <w:color w:val="002060"/>
                <w:sz w:val="20"/>
              </w:rPr>
              <w:t xml:space="preserve"> ceramics</w:t>
            </w:r>
          </w:p>
        </w:tc>
        <w:tc>
          <w:tcPr>
            <w:tcW w:w="1276" w:type="dxa"/>
            <w:shd w:val="clear" w:color="auto" w:fill="F2F2F2" w:themeFill="background1" w:themeFillShade="F2"/>
          </w:tcPr>
          <w:p w14:paraId="52DE80EF" w14:textId="77777777" w:rsidR="004874BF" w:rsidRPr="00FB35E4" w:rsidRDefault="004874BF" w:rsidP="00060C3E">
            <w:pPr>
              <w:jc w:val="center"/>
              <w:rPr>
                <w:color w:val="002060"/>
                <w:sz w:val="20"/>
              </w:rPr>
            </w:pPr>
            <w:r w:rsidRPr="00FB35E4">
              <w:rPr>
                <w:color w:val="002060"/>
                <w:sz w:val="20"/>
              </w:rPr>
              <w:t>60</w:t>
            </w:r>
          </w:p>
        </w:tc>
        <w:tc>
          <w:tcPr>
            <w:tcW w:w="1872" w:type="dxa"/>
            <w:shd w:val="clear" w:color="auto" w:fill="F2F2F2" w:themeFill="background1" w:themeFillShade="F2"/>
          </w:tcPr>
          <w:p w14:paraId="3D05433D" w14:textId="77777777" w:rsidR="004874BF" w:rsidRPr="00FB35E4" w:rsidRDefault="004874BF" w:rsidP="00060C3E">
            <w:pPr>
              <w:jc w:val="center"/>
              <w:rPr>
                <w:color w:val="002060"/>
                <w:sz w:val="20"/>
              </w:rPr>
            </w:pPr>
            <w:r w:rsidRPr="00FB35E4">
              <w:rPr>
                <w:color w:val="002060"/>
                <w:sz w:val="20"/>
              </w:rPr>
              <w:t>10</w:t>
            </w:r>
          </w:p>
        </w:tc>
        <w:tc>
          <w:tcPr>
            <w:tcW w:w="1814" w:type="dxa"/>
            <w:shd w:val="clear" w:color="auto" w:fill="F2F2F2" w:themeFill="background1" w:themeFillShade="F2"/>
          </w:tcPr>
          <w:p w14:paraId="0DF16304" w14:textId="77777777" w:rsidR="004874BF" w:rsidRPr="00FB35E4" w:rsidRDefault="004874BF" w:rsidP="00060C3E">
            <w:pPr>
              <w:jc w:val="center"/>
              <w:rPr>
                <w:color w:val="002060"/>
                <w:sz w:val="20"/>
              </w:rPr>
            </w:pPr>
            <w:r w:rsidRPr="00FB35E4">
              <w:rPr>
                <w:color w:val="002060"/>
                <w:sz w:val="20"/>
              </w:rPr>
              <w:t>10</w:t>
            </w:r>
          </w:p>
        </w:tc>
        <w:tc>
          <w:tcPr>
            <w:tcW w:w="879" w:type="dxa"/>
            <w:shd w:val="clear" w:color="auto" w:fill="F2F2F2" w:themeFill="background1" w:themeFillShade="F2"/>
          </w:tcPr>
          <w:p w14:paraId="00703A7E" w14:textId="77777777" w:rsidR="004874BF" w:rsidRPr="00FB35E4" w:rsidRDefault="004874BF" w:rsidP="00060C3E">
            <w:pPr>
              <w:jc w:val="center"/>
              <w:rPr>
                <w:color w:val="002060"/>
                <w:sz w:val="20"/>
              </w:rPr>
            </w:pPr>
            <w:r w:rsidRPr="00FB35E4">
              <w:rPr>
                <w:color w:val="002060"/>
                <w:sz w:val="20"/>
              </w:rPr>
              <w:t>80</w:t>
            </w:r>
          </w:p>
        </w:tc>
        <w:tc>
          <w:tcPr>
            <w:tcW w:w="1196" w:type="dxa"/>
            <w:shd w:val="clear" w:color="auto" w:fill="F2F2F2" w:themeFill="background1" w:themeFillShade="F2"/>
          </w:tcPr>
          <w:p w14:paraId="6C80A36D" w14:textId="77777777" w:rsidR="004874BF" w:rsidRPr="00FB35E4" w:rsidRDefault="004874BF" w:rsidP="00060C3E">
            <w:pPr>
              <w:jc w:val="center"/>
              <w:rPr>
                <w:color w:val="002060"/>
                <w:sz w:val="20"/>
              </w:rPr>
            </w:pPr>
            <w:r w:rsidRPr="00FB35E4">
              <w:rPr>
                <w:color w:val="002060"/>
                <w:sz w:val="20"/>
              </w:rPr>
              <w:t>5</w:t>
            </w:r>
          </w:p>
        </w:tc>
      </w:tr>
      <w:tr w:rsidR="004874BF" w:rsidRPr="00FB35E4" w14:paraId="24ED57B6" w14:textId="77777777" w:rsidTr="00060C3E">
        <w:tc>
          <w:tcPr>
            <w:tcW w:w="2376" w:type="dxa"/>
            <w:shd w:val="clear" w:color="auto" w:fill="F2F2F2" w:themeFill="background1" w:themeFillShade="F2"/>
          </w:tcPr>
          <w:p w14:paraId="130B1151" w14:textId="77777777" w:rsidR="004874BF" w:rsidRPr="00FB35E4" w:rsidRDefault="004874BF" w:rsidP="00060C3E">
            <w:pPr>
              <w:rPr>
                <w:color w:val="002060"/>
                <w:sz w:val="20"/>
              </w:rPr>
            </w:pPr>
            <w:r w:rsidRPr="00FB35E4">
              <w:rPr>
                <w:color w:val="002060"/>
                <w:sz w:val="20"/>
              </w:rPr>
              <w:t>Chemicals</w:t>
            </w:r>
          </w:p>
        </w:tc>
        <w:tc>
          <w:tcPr>
            <w:tcW w:w="1276" w:type="dxa"/>
            <w:shd w:val="clear" w:color="auto" w:fill="F2F2F2" w:themeFill="background1" w:themeFillShade="F2"/>
          </w:tcPr>
          <w:p w14:paraId="2AA41177" w14:textId="77777777" w:rsidR="004874BF" w:rsidRPr="00FB35E4" w:rsidRDefault="004874BF" w:rsidP="00060C3E">
            <w:pPr>
              <w:jc w:val="center"/>
              <w:rPr>
                <w:color w:val="002060"/>
                <w:sz w:val="20"/>
              </w:rPr>
            </w:pPr>
            <w:r w:rsidRPr="00FB35E4">
              <w:rPr>
                <w:color w:val="002060"/>
                <w:sz w:val="20"/>
              </w:rPr>
              <w:t>60</w:t>
            </w:r>
          </w:p>
        </w:tc>
        <w:tc>
          <w:tcPr>
            <w:tcW w:w="1872" w:type="dxa"/>
            <w:shd w:val="clear" w:color="auto" w:fill="F2F2F2" w:themeFill="background1" w:themeFillShade="F2"/>
          </w:tcPr>
          <w:p w14:paraId="733ECF2E" w14:textId="77777777" w:rsidR="004874BF" w:rsidRPr="00FB35E4" w:rsidRDefault="004874BF" w:rsidP="00060C3E">
            <w:pPr>
              <w:jc w:val="center"/>
              <w:rPr>
                <w:color w:val="002060"/>
                <w:sz w:val="20"/>
              </w:rPr>
            </w:pPr>
            <w:r w:rsidRPr="00FB35E4">
              <w:rPr>
                <w:color w:val="002060"/>
                <w:sz w:val="20"/>
              </w:rPr>
              <w:t>10</w:t>
            </w:r>
          </w:p>
        </w:tc>
        <w:tc>
          <w:tcPr>
            <w:tcW w:w="1814" w:type="dxa"/>
            <w:shd w:val="clear" w:color="auto" w:fill="F2F2F2" w:themeFill="background1" w:themeFillShade="F2"/>
          </w:tcPr>
          <w:p w14:paraId="4B9F0674" w14:textId="77777777" w:rsidR="004874BF" w:rsidRPr="00FB35E4" w:rsidRDefault="004874BF" w:rsidP="00060C3E">
            <w:pPr>
              <w:jc w:val="center"/>
              <w:rPr>
                <w:color w:val="002060"/>
                <w:sz w:val="20"/>
              </w:rPr>
            </w:pPr>
            <w:r w:rsidRPr="00FB35E4">
              <w:rPr>
                <w:color w:val="002060"/>
                <w:sz w:val="20"/>
              </w:rPr>
              <w:t>10</w:t>
            </w:r>
          </w:p>
        </w:tc>
        <w:tc>
          <w:tcPr>
            <w:tcW w:w="879" w:type="dxa"/>
            <w:shd w:val="clear" w:color="auto" w:fill="F2F2F2" w:themeFill="background1" w:themeFillShade="F2"/>
          </w:tcPr>
          <w:p w14:paraId="2EC77BF7" w14:textId="77777777" w:rsidR="004874BF" w:rsidRPr="00FB35E4" w:rsidRDefault="004874BF" w:rsidP="00060C3E">
            <w:pPr>
              <w:jc w:val="center"/>
              <w:rPr>
                <w:color w:val="002060"/>
                <w:sz w:val="20"/>
              </w:rPr>
            </w:pPr>
            <w:r w:rsidRPr="00FB35E4">
              <w:rPr>
                <w:color w:val="002060"/>
                <w:sz w:val="20"/>
              </w:rPr>
              <w:t>80</w:t>
            </w:r>
          </w:p>
        </w:tc>
        <w:tc>
          <w:tcPr>
            <w:tcW w:w="1196" w:type="dxa"/>
            <w:shd w:val="clear" w:color="auto" w:fill="F2F2F2" w:themeFill="background1" w:themeFillShade="F2"/>
          </w:tcPr>
          <w:p w14:paraId="35EB74D1" w14:textId="77777777" w:rsidR="004874BF" w:rsidRPr="00FB35E4" w:rsidRDefault="004874BF" w:rsidP="00060C3E">
            <w:pPr>
              <w:jc w:val="center"/>
              <w:rPr>
                <w:color w:val="002060"/>
                <w:sz w:val="20"/>
              </w:rPr>
            </w:pPr>
            <w:r w:rsidRPr="00FB35E4">
              <w:rPr>
                <w:color w:val="002060"/>
                <w:sz w:val="20"/>
              </w:rPr>
              <w:t>5</w:t>
            </w:r>
          </w:p>
        </w:tc>
      </w:tr>
      <w:tr w:rsidR="004874BF" w:rsidRPr="00FB35E4" w14:paraId="7782CE54" w14:textId="77777777" w:rsidTr="00060C3E">
        <w:tc>
          <w:tcPr>
            <w:tcW w:w="2376" w:type="dxa"/>
            <w:shd w:val="clear" w:color="auto" w:fill="F2F2F2" w:themeFill="background1" w:themeFillShade="F2"/>
          </w:tcPr>
          <w:p w14:paraId="404A962B" w14:textId="77777777" w:rsidR="004874BF" w:rsidRPr="00FB35E4" w:rsidRDefault="004874BF" w:rsidP="00060C3E">
            <w:pPr>
              <w:rPr>
                <w:color w:val="002060"/>
                <w:sz w:val="20"/>
              </w:rPr>
            </w:pPr>
            <w:r>
              <w:rPr>
                <w:color w:val="002060"/>
                <w:sz w:val="20"/>
              </w:rPr>
              <w:t>Pulp and</w:t>
            </w:r>
            <w:r w:rsidRPr="00FB35E4">
              <w:rPr>
                <w:color w:val="002060"/>
                <w:sz w:val="20"/>
              </w:rPr>
              <w:t xml:space="preserve"> paper</w:t>
            </w:r>
          </w:p>
        </w:tc>
        <w:tc>
          <w:tcPr>
            <w:tcW w:w="1276" w:type="dxa"/>
            <w:shd w:val="clear" w:color="auto" w:fill="F2F2F2" w:themeFill="background1" w:themeFillShade="F2"/>
          </w:tcPr>
          <w:p w14:paraId="086FBA2E" w14:textId="77777777" w:rsidR="004874BF" w:rsidRPr="00FB35E4" w:rsidRDefault="004874BF" w:rsidP="00060C3E">
            <w:pPr>
              <w:jc w:val="center"/>
              <w:rPr>
                <w:color w:val="002060"/>
                <w:sz w:val="20"/>
              </w:rPr>
            </w:pPr>
            <w:r w:rsidRPr="00FB35E4">
              <w:rPr>
                <w:color w:val="002060"/>
                <w:sz w:val="20"/>
              </w:rPr>
              <w:t>60</w:t>
            </w:r>
          </w:p>
        </w:tc>
        <w:tc>
          <w:tcPr>
            <w:tcW w:w="1872" w:type="dxa"/>
            <w:shd w:val="clear" w:color="auto" w:fill="F2F2F2" w:themeFill="background1" w:themeFillShade="F2"/>
          </w:tcPr>
          <w:p w14:paraId="41461FEC" w14:textId="77777777" w:rsidR="004874BF" w:rsidRPr="00FB35E4" w:rsidRDefault="004874BF" w:rsidP="00060C3E">
            <w:pPr>
              <w:jc w:val="center"/>
              <w:rPr>
                <w:color w:val="002060"/>
                <w:sz w:val="20"/>
              </w:rPr>
            </w:pPr>
            <w:r w:rsidRPr="00FB35E4">
              <w:rPr>
                <w:color w:val="002060"/>
                <w:sz w:val="20"/>
              </w:rPr>
              <w:t>10</w:t>
            </w:r>
          </w:p>
        </w:tc>
        <w:tc>
          <w:tcPr>
            <w:tcW w:w="1814" w:type="dxa"/>
            <w:shd w:val="clear" w:color="auto" w:fill="F2F2F2" w:themeFill="background1" w:themeFillShade="F2"/>
          </w:tcPr>
          <w:p w14:paraId="3A4376D4" w14:textId="77777777" w:rsidR="004874BF" w:rsidRPr="00FB35E4" w:rsidRDefault="004874BF" w:rsidP="00060C3E">
            <w:pPr>
              <w:jc w:val="center"/>
              <w:rPr>
                <w:color w:val="002060"/>
                <w:sz w:val="20"/>
              </w:rPr>
            </w:pPr>
            <w:r w:rsidRPr="00FB35E4">
              <w:rPr>
                <w:color w:val="002060"/>
                <w:sz w:val="20"/>
              </w:rPr>
              <w:t>-</w:t>
            </w:r>
          </w:p>
        </w:tc>
        <w:tc>
          <w:tcPr>
            <w:tcW w:w="879" w:type="dxa"/>
            <w:shd w:val="clear" w:color="auto" w:fill="F2F2F2" w:themeFill="background1" w:themeFillShade="F2"/>
          </w:tcPr>
          <w:p w14:paraId="4932718A" w14:textId="77777777" w:rsidR="004874BF" w:rsidRPr="00FB35E4" w:rsidRDefault="004874BF" w:rsidP="00060C3E">
            <w:pPr>
              <w:jc w:val="center"/>
              <w:rPr>
                <w:color w:val="002060"/>
                <w:sz w:val="20"/>
              </w:rPr>
            </w:pPr>
            <w:r w:rsidRPr="00FB35E4">
              <w:rPr>
                <w:color w:val="002060"/>
                <w:sz w:val="20"/>
              </w:rPr>
              <w:t>70</w:t>
            </w:r>
          </w:p>
        </w:tc>
        <w:tc>
          <w:tcPr>
            <w:tcW w:w="1196" w:type="dxa"/>
            <w:shd w:val="clear" w:color="auto" w:fill="F2F2F2" w:themeFill="background1" w:themeFillShade="F2"/>
          </w:tcPr>
          <w:p w14:paraId="2F3AA2C3" w14:textId="77777777" w:rsidR="004874BF" w:rsidRPr="00FB35E4" w:rsidRDefault="004874BF" w:rsidP="00060C3E">
            <w:pPr>
              <w:jc w:val="center"/>
              <w:rPr>
                <w:color w:val="002060"/>
                <w:sz w:val="20"/>
              </w:rPr>
            </w:pPr>
            <w:r w:rsidRPr="00FB35E4">
              <w:rPr>
                <w:color w:val="002060"/>
                <w:sz w:val="20"/>
              </w:rPr>
              <w:t>10</w:t>
            </w:r>
          </w:p>
        </w:tc>
      </w:tr>
      <w:tr w:rsidR="004874BF" w:rsidRPr="00FB35E4" w14:paraId="52F1D219" w14:textId="77777777" w:rsidTr="00060C3E">
        <w:tc>
          <w:tcPr>
            <w:tcW w:w="2376" w:type="dxa"/>
            <w:shd w:val="clear" w:color="auto" w:fill="F2F2F2" w:themeFill="background1" w:themeFillShade="F2"/>
          </w:tcPr>
          <w:p w14:paraId="70327542" w14:textId="77777777" w:rsidR="004874BF" w:rsidRPr="00FB35E4" w:rsidRDefault="004874BF" w:rsidP="00060C3E">
            <w:pPr>
              <w:rPr>
                <w:color w:val="002060"/>
                <w:sz w:val="20"/>
              </w:rPr>
            </w:pPr>
            <w:r w:rsidRPr="00FB35E4">
              <w:rPr>
                <w:color w:val="002060"/>
                <w:sz w:val="20"/>
              </w:rPr>
              <w:t>Sugar</w:t>
            </w:r>
          </w:p>
        </w:tc>
        <w:tc>
          <w:tcPr>
            <w:tcW w:w="1276" w:type="dxa"/>
            <w:shd w:val="clear" w:color="auto" w:fill="F2F2F2" w:themeFill="background1" w:themeFillShade="F2"/>
          </w:tcPr>
          <w:p w14:paraId="5AC951D9" w14:textId="77777777" w:rsidR="004874BF" w:rsidRPr="00FB35E4" w:rsidRDefault="004874BF" w:rsidP="00060C3E">
            <w:pPr>
              <w:jc w:val="center"/>
              <w:rPr>
                <w:color w:val="002060"/>
                <w:sz w:val="20"/>
              </w:rPr>
            </w:pPr>
            <w:r w:rsidRPr="00FB35E4">
              <w:rPr>
                <w:color w:val="002060"/>
                <w:sz w:val="20"/>
              </w:rPr>
              <w:t>60</w:t>
            </w:r>
          </w:p>
        </w:tc>
        <w:tc>
          <w:tcPr>
            <w:tcW w:w="1872" w:type="dxa"/>
            <w:shd w:val="clear" w:color="auto" w:fill="F2F2F2" w:themeFill="background1" w:themeFillShade="F2"/>
          </w:tcPr>
          <w:p w14:paraId="7855C8D2" w14:textId="77777777" w:rsidR="004874BF" w:rsidRPr="00FB35E4" w:rsidRDefault="004874BF" w:rsidP="00060C3E">
            <w:pPr>
              <w:jc w:val="center"/>
              <w:rPr>
                <w:color w:val="002060"/>
                <w:sz w:val="20"/>
              </w:rPr>
            </w:pPr>
            <w:r w:rsidRPr="00FB35E4">
              <w:rPr>
                <w:color w:val="002060"/>
                <w:sz w:val="20"/>
              </w:rPr>
              <w:t>10</w:t>
            </w:r>
          </w:p>
        </w:tc>
        <w:tc>
          <w:tcPr>
            <w:tcW w:w="1814" w:type="dxa"/>
            <w:shd w:val="clear" w:color="auto" w:fill="F2F2F2" w:themeFill="background1" w:themeFillShade="F2"/>
          </w:tcPr>
          <w:p w14:paraId="0E061C13" w14:textId="77777777" w:rsidR="004874BF" w:rsidRPr="00FB35E4" w:rsidRDefault="004874BF" w:rsidP="00060C3E">
            <w:pPr>
              <w:jc w:val="center"/>
              <w:rPr>
                <w:color w:val="002060"/>
                <w:sz w:val="20"/>
              </w:rPr>
            </w:pPr>
            <w:r w:rsidRPr="00FB35E4">
              <w:rPr>
                <w:color w:val="002060"/>
                <w:sz w:val="20"/>
              </w:rPr>
              <w:t>-</w:t>
            </w:r>
          </w:p>
        </w:tc>
        <w:tc>
          <w:tcPr>
            <w:tcW w:w="879" w:type="dxa"/>
            <w:shd w:val="clear" w:color="auto" w:fill="F2F2F2" w:themeFill="background1" w:themeFillShade="F2"/>
          </w:tcPr>
          <w:p w14:paraId="1B6FBB14" w14:textId="77777777" w:rsidR="004874BF" w:rsidRPr="00FB35E4" w:rsidRDefault="004874BF" w:rsidP="00060C3E">
            <w:pPr>
              <w:jc w:val="center"/>
              <w:rPr>
                <w:color w:val="002060"/>
                <w:sz w:val="20"/>
              </w:rPr>
            </w:pPr>
            <w:r w:rsidRPr="00FB35E4">
              <w:rPr>
                <w:color w:val="002060"/>
                <w:sz w:val="20"/>
              </w:rPr>
              <w:t>70</w:t>
            </w:r>
          </w:p>
        </w:tc>
        <w:tc>
          <w:tcPr>
            <w:tcW w:w="1196" w:type="dxa"/>
            <w:shd w:val="clear" w:color="auto" w:fill="F2F2F2" w:themeFill="background1" w:themeFillShade="F2"/>
          </w:tcPr>
          <w:p w14:paraId="2868AE42" w14:textId="77777777" w:rsidR="004874BF" w:rsidRPr="00FB35E4" w:rsidRDefault="004874BF" w:rsidP="00060C3E">
            <w:pPr>
              <w:jc w:val="center"/>
              <w:rPr>
                <w:color w:val="002060"/>
                <w:sz w:val="20"/>
              </w:rPr>
            </w:pPr>
            <w:r w:rsidRPr="00FB35E4">
              <w:rPr>
                <w:color w:val="002060"/>
                <w:sz w:val="20"/>
              </w:rPr>
              <w:t>10</w:t>
            </w:r>
          </w:p>
        </w:tc>
      </w:tr>
      <w:tr w:rsidR="004874BF" w:rsidRPr="00FB35E4" w14:paraId="303F1F0C" w14:textId="77777777" w:rsidTr="00060C3E">
        <w:tc>
          <w:tcPr>
            <w:tcW w:w="2376" w:type="dxa"/>
            <w:shd w:val="clear" w:color="auto" w:fill="F2F2F2" w:themeFill="background1" w:themeFillShade="F2"/>
          </w:tcPr>
          <w:p w14:paraId="2215E4CC" w14:textId="77777777" w:rsidR="004874BF" w:rsidRPr="00FB35E4" w:rsidRDefault="004874BF" w:rsidP="00060C3E">
            <w:pPr>
              <w:rPr>
                <w:color w:val="002060"/>
                <w:sz w:val="20"/>
              </w:rPr>
            </w:pPr>
            <w:r w:rsidRPr="00FB35E4">
              <w:rPr>
                <w:color w:val="002060"/>
                <w:sz w:val="20"/>
              </w:rPr>
              <w:t>Agriculture, forestry and land use</w:t>
            </w:r>
          </w:p>
        </w:tc>
        <w:tc>
          <w:tcPr>
            <w:tcW w:w="1276" w:type="dxa"/>
            <w:shd w:val="clear" w:color="auto" w:fill="F2F2F2" w:themeFill="background1" w:themeFillShade="F2"/>
          </w:tcPr>
          <w:p w14:paraId="3CF7262C" w14:textId="77777777" w:rsidR="004874BF" w:rsidRPr="00FB35E4" w:rsidRDefault="004874BF" w:rsidP="00060C3E">
            <w:pPr>
              <w:jc w:val="center"/>
              <w:rPr>
                <w:color w:val="002060"/>
                <w:sz w:val="20"/>
              </w:rPr>
            </w:pPr>
            <w:r w:rsidRPr="00FB35E4">
              <w:rPr>
                <w:color w:val="002060"/>
                <w:sz w:val="20"/>
              </w:rPr>
              <w:t>60</w:t>
            </w:r>
          </w:p>
        </w:tc>
        <w:tc>
          <w:tcPr>
            <w:tcW w:w="1872" w:type="dxa"/>
            <w:shd w:val="clear" w:color="auto" w:fill="F2F2F2" w:themeFill="background1" w:themeFillShade="F2"/>
          </w:tcPr>
          <w:p w14:paraId="70804B6F" w14:textId="77777777" w:rsidR="004874BF" w:rsidRPr="00FB35E4" w:rsidRDefault="004874BF" w:rsidP="00060C3E">
            <w:pPr>
              <w:jc w:val="center"/>
              <w:rPr>
                <w:color w:val="002060"/>
                <w:sz w:val="20"/>
              </w:rPr>
            </w:pPr>
            <w:r w:rsidRPr="00FB35E4">
              <w:rPr>
                <w:color w:val="002060"/>
                <w:sz w:val="20"/>
              </w:rPr>
              <w:t>-</w:t>
            </w:r>
          </w:p>
        </w:tc>
        <w:tc>
          <w:tcPr>
            <w:tcW w:w="1814" w:type="dxa"/>
            <w:shd w:val="clear" w:color="auto" w:fill="F2F2F2" w:themeFill="background1" w:themeFillShade="F2"/>
          </w:tcPr>
          <w:p w14:paraId="04DADF48" w14:textId="77777777" w:rsidR="004874BF" w:rsidRPr="00FB35E4" w:rsidRDefault="004874BF" w:rsidP="00060C3E">
            <w:pPr>
              <w:jc w:val="center"/>
              <w:rPr>
                <w:color w:val="002060"/>
                <w:sz w:val="20"/>
              </w:rPr>
            </w:pPr>
            <w:r w:rsidRPr="00FB35E4">
              <w:rPr>
                <w:color w:val="002060"/>
                <w:sz w:val="20"/>
              </w:rPr>
              <w:t>40</w:t>
            </w:r>
          </w:p>
        </w:tc>
        <w:tc>
          <w:tcPr>
            <w:tcW w:w="879" w:type="dxa"/>
            <w:shd w:val="clear" w:color="auto" w:fill="F2F2F2" w:themeFill="background1" w:themeFillShade="F2"/>
          </w:tcPr>
          <w:p w14:paraId="5BB48DAB" w14:textId="77777777" w:rsidR="004874BF" w:rsidRPr="00FB35E4" w:rsidRDefault="004874BF" w:rsidP="00060C3E">
            <w:pPr>
              <w:jc w:val="center"/>
              <w:rPr>
                <w:color w:val="002060"/>
                <w:sz w:val="20"/>
              </w:rPr>
            </w:pPr>
            <w:r w:rsidRPr="00FB35E4">
              <w:rPr>
                <w:color w:val="002060"/>
                <w:sz w:val="20"/>
              </w:rPr>
              <w:t>100</w:t>
            </w:r>
          </w:p>
        </w:tc>
        <w:tc>
          <w:tcPr>
            <w:tcW w:w="1196" w:type="dxa"/>
            <w:shd w:val="clear" w:color="auto" w:fill="F2F2F2" w:themeFill="background1" w:themeFillShade="F2"/>
          </w:tcPr>
          <w:p w14:paraId="38ABC205" w14:textId="77777777" w:rsidR="004874BF" w:rsidRPr="00FB35E4" w:rsidRDefault="004874BF" w:rsidP="00060C3E">
            <w:pPr>
              <w:jc w:val="center"/>
              <w:rPr>
                <w:color w:val="002060"/>
                <w:sz w:val="20"/>
              </w:rPr>
            </w:pPr>
            <w:r w:rsidRPr="00FB35E4">
              <w:rPr>
                <w:color w:val="002060"/>
                <w:sz w:val="20"/>
              </w:rPr>
              <w:t>0</w:t>
            </w:r>
          </w:p>
        </w:tc>
      </w:tr>
      <w:tr w:rsidR="004874BF" w:rsidRPr="00FB35E4" w14:paraId="4DBCF5B0" w14:textId="77777777" w:rsidTr="00060C3E">
        <w:tc>
          <w:tcPr>
            <w:tcW w:w="2376" w:type="dxa"/>
            <w:shd w:val="clear" w:color="auto" w:fill="F2F2F2" w:themeFill="background1" w:themeFillShade="F2"/>
          </w:tcPr>
          <w:p w14:paraId="0096D20D" w14:textId="77777777" w:rsidR="004874BF" w:rsidRPr="00FB35E4" w:rsidRDefault="004874BF" w:rsidP="00060C3E">
            <w:pPr>
              <w:rPr>
                <w:color w:val="002060"/>
                <w:sz w:val="20"/>
              </w:rPr>
            </w:pPr>
            <w:r w:rsidRPr="00FB35E4">
              <w:rPr>
                <w:color w:val="002060"/>
                <w:sz w:val="20"/>
              </w:rPr>
              <w:t>Waste</w:t>
            </w:r>
          </w:p>
        </w:tc>
        <w:tc>
          <w:tcPr>
            <w:tcW w:w="1276" w:type="dxa"/>
            <w:shd w:val="clear" w:color="auto" w:fill="F2F2F2" w:themeFill="background1" w:themeFillShade="F2"/>
          </w:tcPr>
          <w:p w14:paraId="3504E329" w14:textId="77777777" w:rsidR="004874BF" w:rsidRPr="00FB35E4" w:rsidRDefault="004874BF" w:rsidP="00060C3E">
            <w:pPr>
              <w:jc w:val="center"/>
              <w:rPr>
                <w:color w:val="002060"/>
                <w:sz w:val="20"/>
              </w:rPr>
            </w:pPr>
            <w:r w:rsidRPr="00FB35E4">
              <w:rPr>
                <w:color w:val="002060"/>
                <w:sz w:val="20"/>
              </w:rPr>
              <w:t>60</w:t>
            </w:r>
          </w:p>
        </w:tc>
        <w:tc>
          <w:tcPr>
            <w:tcW w:w="1872" w:type="dxa"/>
            <w:shd w:val="clear" w:color="auto" w:fill="F2F2F2" w:themeFill="background1" w:themeFillShade="F2"/>
          </w:tcPr>
          <w:p w14:paraId="178B7CB5" w14:textId="77777777" w:rsidR="004874BF" w:rsidRPr="00FB35E4" w:rsidRDefault="004874BF" w:rsidP="00060C3E">
            <w:pPr>
              <w:jc w:val="center"/>
              <w:rPr>
                <w:color w:val="002060"/>
                <w:sz w:val="20"/>
              </w:rPr>
            </w:pPr>
            <w:r w:rsidRPr="00FB35E4">
              <w:rPr>
                <w:color w:val="002060"/>
                <w:sz w:val="20"/>
              </w:rPr>
              <w:t>-</w:t>
            </w:r>
          </w:p>
        </w:tc>
        <w:tc>
          <w:tcPr>
            <w:tcW w:w="1814" w:type="dxa"/>
            <w:shd w:val="clear" w:color="auto" w:fill="F2F2F2" w:themeFill="background1" w:themeFillShade="F2"/>
          </w:tcPr>
          <w:p w14:paraId="5D3BDE71" w14:textId="77777777" w:rsidR="004874BF" w:rsidRPr="00FB35E4" w:rsidRDefault="004874BF" w:rsidP="00060C3E">
            <w:pPr>
              <w:jc w:val="center"/>
              <w:rPr>
                <w:color w:val="002060"/>
                <w:sz w:val="20"/>
              </w:rPr>
            </w:pPr>
            <w:r w:rsidRPr="00FB35E4">
              <w:rPr>
                <w:color w:val="002060"/>
                <w:sz w:val="20"/>
              </w:rPr>
              <w:t>40</w:t>
            </w:r>
          </w:p>
        </w:tc>
        <w:tc>
          <w:tcPr>
            <w:tcW w:w="879" w:type="dxa"/>
            <w:shd w:val="clear" w:color="auto" w:fill="F2F2F2" w:themeFill="background1" w:themeFillShade="F2"/>
          </w:tcPr>
          <w:p w14:paraId="5CD17D76" w14:textId="77777777" w:rsidR="004874BF" w:rsidRPr="00FB35E4" w:rsidRDefault="004874BF" w:rsidP="00060C3E">
            <w:pPr>
              <w:jc w:val="center"/>
              <w:rPr>
                <w:color w:val="002060"/>
                <w:sz w:val="20"/>
              </w:rPr>
            </w:pPr>
            <w:r w:rsidRPr="00FB35E4">
              <w:rPr>
                <w:color w:val="002060"/>
                <w:sz w:val="20"/>
              </w:rPr>
              <w:t>100</w:t>
            </w:r>
          </w:p>
        </w:tc>
        <w:tc>
          <w:tcPr>
            <w:tcW w:w="1196" w:type="dxa"/>
            <w:shd w:val="clear" w:color="auto" w:fill="F2F2F2" w:themeFill="background1" w:themeFillShade="F2"/>
          </w:tcPr>
          <w:p w14:paraId="6BC7094E" w14:textId="77777777" w:rsidR="004874BF" w:rsidRPr="00FB35E4" w:rsidRDefault="004874BF" w:rsidP="00060C3E">
            <w:pPr>
              <w:jc w:val="center"/>
              <w:rPr>
                <w:color w:val="002060"/>
                <w:sz w:val="20"/>
              </w:rPr>
            </w:pPr>
            <w:r w:rsidRPr="00FB35E4">
              <w:rPr>
                <w:color w:val="002060"/>
                <w:sz w:val="20"/>
              </w:rPr>
              <w:t>0</w:t>
            </w:r>
          </w:p>
        </w:tc>
      </w:tr>
      <w:tr w:rsidR="004874BF" w:rsidRPr="00FB35E4" w14:paraId="7A6A01B9" w14:textId="77777777" w:rsidTr="00060C3E">
        <w:tc>
          <w:tcPr>
            <w:tcW w:w="2376" w:type="dxa"/>
            <w:shd w:val="clear" w:color="auto" w:fill="F2F2F2" w:themeFill="background1" w:themeFillShade="F2"/>
          </w:tcPr>
          <w:p w14:paraId="652A409E" w14:textId="77777777" w:rsidR="004874BF" w:rsidRPr="00FB35E4" w:rsidRDefault="004874BF" w:rsidP="00060C3E">
            <w:pPr>
              <w:rPr>
                <w:color w:val="002060"/>
                <w:sz w:val="20"/>
              </w:rPr>
            </w:pPr>
            <w:r w:rsidRPr="00FB35E4">
              <w:rPr>
                <w:color w:val="002060"/>
                <w:sz w:val="20"/>
              </w:rPr>
              <w:t>Fugitive emissions from coal mining</w:t>
            </w:r>
          </w:p>
        </w:tc>
        <w:tc>
          <w:tcPr>
            <w:tcW w:w="1276" w:type="dxa"/>
            <w:shd w:val="clear" w:color="auto" w:fill="F2F2F2" w:themeFill="background1" w:themeFillShade="F2"/>
          </w:tcPr>
          <w:p w14:paraId="20FDEBE1" w14:textId="77777777" w:rsidR="004874BF" w:rsidRPr="00FB35E4" w:rsidRDefault="004874BF" w:rsidP="00060C3E">
            <w:pPr>
              <w:jc w:val="center"/>
              <w:rPr>
                <w:color w:val="002060"/>
                <w:sz w:val="20"/>
              </w:rPr>
            </w:pPr>
            <w:r w:rsidRPr="00FB35E4">
              <w:rPr>
                <w:color w:val="002060"/>
                <w:sz w:val="20"/>
              </w:rPr>
              <w:t>60</w:t>
            </w:r>
          </w:p>
        </w:tc>
        <w:tc>
          <w:tcPr>
            <w:tcW w:w="1872" w:type="dxa"/>
            <w:shd w:val="clear" w:color="auto" w:fill="F2F2F2" w:themeFill="background1" w:themeFillShade="F2"/>
          </w:tcPr>
          <w:p w14:paraId="484EE197" w14:textId="77777777" w:rsidR="004874BF" w:rsidRPr="00FB35E4" w:rsidRDefault="004874BF" w:rsidP="00060C3E">
            <w:pPr>
              <w:jc w:val="center"/>
              <w:rPr>
                <w:color w:val="002060"/>
                <w:sz w:val="20"/>
              </w:rPr>
            </w:pPr>
            <w:r w:rsidRPr="00FB35E4">
              <w:rPr>
                <w:color w:val="002060"/>
                <w:sz w:val="20"/>
              </w:rPr>
              <w:t>10</w:t>
            </w:r>
          </w:p>
        </w:tc>
        <w:tc>
          <w:tcPr>
            <w:tcW w:w="1814" w:type="dxa"/>
            <w:shd w:val="clear" w:color="auto" w:fill="F2F2F2" w:themeFill="background1" w:themeFillShade="F2"/>
          </w:tcPr>
          <w:p w14:paraId="1531494E" w14:textId="77777777" w:rsidR="004874BF" w:rsidRPr="00FB35E4" w:rsidRDefault="004874BF" w:rsidP="00060C3E">
            <w:pPr>
              <w:jc w:val="center"/>
              <w:rPr>
                <w:color w:val="002060"/>
                <w:sz w:val="20"/>
              </w:rPr>
            </w:pPr>
            <w:r w:rsidRPr="00FB35E4">
              <w:rPr>
                <w:color w:val="002060"/>
                <w:sz w:val="20"/>
              </w:rPr>
              <w:t>10</w:t>
            </w:r>
          </w:p>
        </w:tc>
        <w:tc>
          <w:tcPr>
            <w:tcW w:w="879" w:type="dxa"/>
            <w:shd w:val="clear" w:color="auto" w:fill="F2F2F2" w:themeFill="background1" w:themeFillShade="F2"/>
          </w:tcPr>
          <w:p w14:paraId="1ED5FAF2" w14:textId="77777777" w:rsidR="004874BF" w:rsidRPr="00FB35E4" w:rsidRDefault="004874BF" w:rsidP="00060C3E">
            <w:pPr>
              <w:jc w:val="center"/>
              <w:rPr>
                <w:color w:val="002060"/>
                <w:sz w:val="20"/>
              </w:rPr>
            </w:pPr>
            <w:r w:rsidRPr="00FB35E4">
              <w:rPr>
                <w:color w:val="002060"/>
                <w:sz w:val="20"/>
              </w:rPr>
              <w:t>80</w:t>
            </w:r>
          </w:p>
        </w:tc>
        <w:tc>
          <w:tcPr>
            <w:tcW w:w="1196" w:type="dxa"/>
            <w:shd w:val="clear" w:color="auto" w:fill="F2F2F2" w:themeFill="background1" w:themeFillShade="F2"/>
          </w:tcPr>
          <w:p w14:paraId="1208E5F1" w14:textId="77777777" w:rsidR="004874BF" w:rsidRPr="00FB35E4" w:rsidRDefault="004874BF" w:rsidP="00060C3E">
            <w:pPr>
              <w:jc w:val="center"/>
              <w:rPr>
                <w:color w:val="002060"/>
                <w:sz w:val="20"/>
              </w:rPr>
            </w:pPr>
            <w:r w:rsidRPr="00FB35E4">
              <w:rPr>
                <w:color w:val="002060"/>
                <w:sz w:val="20"/>
              </w:rPr>
              <w:t>5</w:t>
            </w:r>
          </w:p>
        </w:tc>
      </w:tr>
      <w:tr w:rsidR="004874BF" w:rsidRPr="00FB35E4" w14:paraId="1096BCFF" w14:textId="77777777" w:rsidTr="00060C3E">
        <w:tc>
          <w:tcPr>
            <w:tcW w:w="2376" w:type="dxa"/>
            <w:shd w:val="clear" w:color="auto" w:fill="F2F2F2" w:themeFill="background1" w:themeFillShade="F2"/>
          </w:tcPr>
          <w:p w14:paraId="4FD118BB" w14:textId="77777777" w:rsidR="004874BF" w:rsidRPr="00FB35E4" w:rsidRDefault="004874BF" w:rsidP="00060C3E">
            <w:pPr>
              <w:rPr>
                <w:color w:val="002060"/>
                <w:sz w:val="20"/>
              </w:rPr>
            </w:pPr>
            <w:r w:rsidRPr="00FB35E4">
              <w:rPr>
                <w:color w:val="002060"/>
                <w:sz w:val="20"/>
              </w:rPr>
              <w:t>Other</w:t>
            </w:r>
          </w:p>
        </w:tc>
        <w:tc>
          <w:tcPr>
            <w:tcW w:w="1276" w:type="dxa"/>
            <w:shd w:val="clear" w:color="auto" w:fill="F2F2F2" w:themeFill="background1" w:themeFillShade="F2"/>
          </w:tcPr>
          <w:p w14:paraId="23AEA7F6" w14:textId="77777777" w:rsidR="004874BF" w:rsidRPr="00FB35E4" w:rsidRDefault="004874BF" w:rsidP="00060C3E">
            <w:pPr>
              <w:jc w:val="center"/>
              <w:rPr>
                <w:color w:val="002060"/>
                <w:sz w:val="20"/>
              </w:rPr>
            </w:pPr>
            <w:r w:rsidRPr="00FB35E4">
              <w:rPr>
                <w:color w:val="002060"/>
                <w:sz w:val="20"/>
              </w:rPr>
              <w:t>60</w:t>
            </w:r>
          </w:p>
        </w:tc>
        <w:tc>
          <w:tcPr>
            <w:tcW w:w="1872" w:type="dxa"/>
            <w:shd w:val="clear" w:color="auto" w:fill="F2F2F2" w:themeFill="background1" w:themeFillShade="F2"/>
          </w:tcPr>
          <w:p w14:paraId="7E6E3CAA" w14:textId="77777777" w:rsidR="004874BF" w:rsidRPr="00FB35E4" w:rsidRDefault="004874BF" w:rsidP="00060C3E">
            <w:pPr>
              <w:jc w:val="center"/>
              <w:rPr>
                <w:color w:val="002060"/>
                <w:sz w:val="20"/>
              </w:rPr>
            </w:pPr>
            <w:r w:rsidRPr="00FB35E4">
              <w:rPr>
                <w:color w:val="002060"/>
                <w:sz w:val="20"/>
              </w:rPr>
              <w:t>10</w:t>
            </w:r>
          </w:p>
        </w:tc>
        <w:tc>
          <w:tcPr>
            <w:tcW w:w="1814" w:type="dxa"/>
            <w:shd w:val="clear" w:color="auto" w:fill="F2F2F2" w:themeFill="background1" w:themeFillShade="F2"/>
          </w:tcPr>
          <w:p w14:paraId="661A3DB7" w14:textId="77777777" w:rsidR="004874BF" w:rsidRPr="00FB35E4" w:rsidRDefault="004874BF" w:rsidP="00060C3E">
            <w:pPr>
              <w:jc w:val="center"/>
              <w:rPr>
                <w:color w:val="002060"/>
                <w:sz w:val="20"/>
              </w:rPr>
            </w:pPr>
            <w:r w:rsidRPr="00FB35E4">
              <w:rPr>
                <w:color w:val="002060"/>
                <w:sz w:val="20"/>
              </w:rPr>
              <w:t>-</w:t>
            </w:r>
          </w:p>
        </w:tc>
        <w:tc>
          <w:tcPr>
            <w:tcW w:w="879" w:type="dxa"/>
            <w:shd w:val="clear" w:color="auto" w:fill="F2F2F2" w:themeFill="background1" w:themeFillShade="F2"/>
          </w:tcPr>
          <w:p w14:paraId="17BE8E58" w14:textId="77777777" w:rsidR="004874BF" w:rsidRPr="00FB35E4" w:rsidRDefault="004874BF" w:rsidP="00060C3E">
            <w:pPr>
              <w:jc w:val="center"/>
              <w:rPr>
                <w:color w:val="002060"/>
                <w:sz w:val="20"/>
              </w:rPr>
            </w:pPr>
            <w:r w:rsidRPr="00FB35E4">
              <w:rPr>
                <w:color w:val="002060"/>
                <w:sz w:val="20"/>
              </w:rPr>
              <w:t>70</w:t>
            </w:r>
          </w:p>
        </w:tc>
        <w:tc>
          <w:tcPr>
            <w:tcW w:w="1196" w:type="dxa"/>
            <w:shd w:val="clear" w:color="auto" w:fill="F2F2F2" w:themeFill="background1" w:themeFillShade="F2"/>
          </w:tcPr>
          <w:p w14:paraId="046778ED" w14:textId="77777777" w:rsidR="004874BF" w:rsidRPr="00FB35E4" w:rsidRDefault="004874BF" w:rsidP="00060C3E">
            <w:pPr>
              <w:jc w:val="center"/>
              <w:rPr>
                <w:color w:val="002060"/>
                <w:sz w:val="20"/>
              </w:rPr>
            </w:pPr>
            <w:r w:rsidRPr="00FB35E4">
              <w:rPr>
                <w:color w:val="002060"/>
                <w:sz w:val="20"/>
              </w:rPr>
              <w:t>10</w:t>
            </w:r>
          </w:p>
        </w:tc>
      </w:tr>
    </w:tbl>
    <w:p w14:paraId="01DD2C27" w14:textId="77777777" w:rsidR="004874BF" w:rsidRPr="00FB35E4" w:rsidRDefault="004874BF" w:rsidP="004874BF">
      <w:pPr>
        <w:spacing w:line="360" w:lineRule="auto"/>
        <w:rPr>
          <w:b/>
          <w:sz w:val="20"/>
          <w:szCs w:val="18"/>
          <w:lang w:eastAsia="zh-CN"/>
        </w:rPr>
      </w:pPr>
      <w:r w:rsidRPr="00FB35E4">
        <w:rPr>
          <w:b/>
          <w:sz w:val="20"/>
          <w:szCs w:val="18"/>
          <w:lang w:eastAsia="zh-CN"/>
        </w:rPr>
        <w:t>Source: National Treasury</w:t>
      </w:r>
      <w:r>
        <w:rPr>
          <w:b/>
          <w:sz w:val="20"/>
          <w:szCs w:val="18"/>
          <w:lang w:eastAsia="zh-CN"/>
        </w:rPr>
        <w:t>,</w:t>
      </w:r>
      <w:r w:rsidRPr="00FB35E4">
        <w:rPr>
          <w:b/>
          <w:sz w:val="20"/>
          <w:szCs w:val="18"/>
          <w:lang w:eastAsia="zh-CN"/>
        </w:rPr>
        <w:t xml:space="preserve"> 2013.</w:t>
      </w:r>
    </w:p>
    <w:p w14:paraId="1CF37969" w14:textId="77777777" w:rsidR="004874BF" w:rsidRPr="00C27B2A" w:rsidRDefault="004874BF" w:rsidP="004874BF">
      <w:pPr>
        <w:pStyle w:val="Heading1"/>
        <w:numPr>
          <w:ilvl w:val="0"/>
          <w:numId w:val="24"/>
        </w:numPr>
      </w:pPr>
      <w:r>
        <w:t>Simulations</w:t>
      </w:r>
    </w:p>
    <w:p w14:paraId="43856F30" w14:textId="77777777" w:rsidR="004874BF" w:rsidRPr="004874BF" w:rsidRDefault="004874BF" w:rsidP="004874BF">
      <w:pPr>
        <w:spacing w:line="360" w:lineRule="auto"/>
        <w:rPr>
          <w:rFonts w:cstheme="minorHAnsi"/>
        </w:rPr>
      </w:pPr>
      <w:r w:rsidRPr="004874BF">
        <w:rPr>
          <w:rFonts w:cstheme="minorHAnsi"/>
        </w:rPr>
        <w:t xml:space="preserve">As noted in the previous section, we run two separate simulations to isolate and measure the impact of the South African carbon tax. The first establishes a business-as-usual (BAU) baseline forecast of the economy in the absence of the shock under investigation. The second simulation imposes the exogenous shock on the economy, in this case, the introduction of a carbon tax. Subsequent policy scenarios, simulating </w:t>
      </w:r>
      <w:r w:rsidR="00060C3E">
        <w:rPr>
          <w:rFonts w:cstheme="minorHAnsi"/>
        </w:rPr>
        <w:t>two</w:t>
      </w:r>
      <w:r w:rsidRPr="004874BF">
        <w:rPr>
          <w:rFonts w:cstheme="minorHAnsi"/>
        </w:rPr>
        <w:t xml:space="preserve"> revenue recycling options, are also tested. Results quantifying the impact of the shock are typically reported as percentage changes between the values in the baseline run and the policy run for each variable, although some variables, such as changes to the budget deficit or net foreign liabilities, may be reported as ordinary changes.</w:t>
      </w:r>
    </w:p>
    <w:p w14:paraId="71075E33" w14:textId="77777777" w:rsidR="004874BF" w:rsidRPr="004874BF" w:rsidRDefault="004874BF" w:rsidP="004874BF">
      <w:pPr>
        <w:spacing w:line="360" w:lineRule="auto"/>
        <w:ind w:firstLine="567"/>
        <w:rPr>
          <w:rFonts w:cstheme="minorHAnsi"/>
        </w:rPr>
      </w:pPr>
      <w:r w:rsidRPr="004874BF">
        <w:rPr>
          <w:rFonts w:cstheme="minorHAnsi"/>
        </w:rPr>
        <w:lastRenderedPageBreak/>
        <w:t xml:space="preserve">The forecast and policy simulations are done with different closures to the model. In the forecast closure we </w:t>
      </w:r>
      <w:proofErr w:type="spellStart"/>
      <w:r w:rsidRPr="004874BF">
        <w:rPr>
          <w:rFonts w:cstheme="minorHAnsi"/>
        </w:rPr>
        <w:t>exogenise</w:t>
      </w:r>
      <w:proofErr w:type="spellEnd"/>
      <w:r w:rsidRPr="004874BF">
        <w:rPr>
          <w:rFonts w:cstheme="minorHAnsi"/>
        </w:rPr>
        <w:t xml:space="preserve"> variables that we have forecast information for, such as household consumption, and </w:t>
      </w:r>
      <w:proofErr w:type="spellStart"/>
      <w:r w:rsidRPr="004874BF">
        <w:rPr>
          <w:rFonts w:cstheme="minorHAnsi"/>
        </w:rPr>
        <w:t>endogenise</w:t>
      </w:r>
      <w:proofErr w:type="spellEnd"/>
      <w:r w:rsidRPr="004874BF">
        <w:rPr>
          <w:rFonts w:cstheme="minorHAnsi"/>
        </w:rPr>
        <w:t xml:space="preserve"> variables that are related to them, such as the average propensity to consume (APC). Shocking the model with the forecasted value of household consumption would give a resulting value for the APC. If we would then change the closure by making household consumption endogenous and the APC exogenous, we would get the same value for household consumption by shocking the value of the APC by the solution value found previously. Therefore, in general, we do a baseline forecast of the economy, change the closure of the model to the policy closure that will be used later in the policy simulation, and re-generate the baseline forecast with it. From there we are ready to apply any set of additional policy shocks to the exogenous variables. If we would run a policy simulation where no additional shocks are applied to the policy variables, the original baseline forecast values would be the result of the simulation. This makes it legitimate to interpret differences between results in the policy and baseline runs as the effects of the policy shocks. </w:t>
      </w:r>
    </w:p>
    <w:p w14:paraId="42B5BB98" w14:textId="77777777" w:rsidR="004874BF" w:rsidRPr="00C27B2A" w:rsidRDefault="004874BF" w:rsidP="004874BF">
      <w:pPr>
        <w:pStyle w:val="Heading2"/>
      </w:pPr>
      <w:r w:rsidRPr="00C27B2A">
        <w:t>3.1</w:t>
      </w:r>
      <w:r w:rsidRPr="00C27B2A">
        <w:tab/>
        <w:t>Baseline Forecast</w:t>
      </w:r>
    </w:p>
    <w:p w14:paraId="50EA93CE" w14:textId="77777777" w:rsidR="004874BF" w:rsidRPr="004874BF" w:rsidRDefault="004874BF" w:rsidP="004874BF">
      <w:pPr>
        <w:spacing w:line="360" w:lineRule="auto"/>
        <w:ind w:firstLine="567"/>
        <w:rPr>
          <w:rFonts w:ascii="Calibri" w:hAnsi="Calibri" w:cs="Calibri"/>
        </w:rPr>
      </w:pPr>
      <w:r w:rsidRPr="004874BF">
        <w:rPr>
          <w:rFonts w:ascii="Calibri" w:hAnsi="Calibri" w:cs="Calibri"/>
        </w:rPr>
        <w:t>The baseline forecast shows the macroeconomic projections for the main components of GDP from the expenditure side based on IMF (2016), National Treasury (2016) and CEPII (2012) estimates. Baseline projections paint a business-as-usual (BAU) picture of the economy without the policy change or shock under investigation.</w:t>
      </w:r>
    </w:p>
    <w:p w14:paraId="52351AA7" w14:textId="77777777" w:rsidR="004874BF" w:rsidRPr="004874BF" w:rsidRDefault="004874BF" w:rsidP="004874BF">
      <w:pPr>
        <w:spacing w:line="360" w:lineRule="auto"/>
        <w:ind w:firstLine="567"/>
        <w:rPr>
          <w:rFonts w:ascii="Calibri" w:hAnsi="Calibri" w:cs="Calibri"/>
        </w:rPr>
      </w:pPr>
      <w:r w:rsidRPr="004874BF">
        <w:rPr>
          <w:rFonts w:ascii="Calibri" w:hAnsi="Calibri" w:cs="Calibri"/>
        </w:rPr>
        <w:t xml:space="preserve">The BAU baseline projection allows us to run the various policy scenarios simulating the impact of the carbon tax against it and estimate the deviation from the baseline caused by the tax. From the given forecast values we find that cumulative real GDP growth of 86.5 per cent is predicted for the 24 year simulation period between 2011 and 2035, taking into consideration historical data between 2012 and 2015. This is equivalent to an average annual growth in real GDP of around 2.6 per cent over the forecast period with an average of 3 per cent forecast from 2019-2035. </w:t>
      </w:r>
    </w:p>
    <w:p w14:paraId="5A4C6A2F" w14:textId="77777777" w:rsidR="004874BF" w:rsidRPr="004874BF" w:rsidRDefault="004874BF" w:rsidP="004874BF">
      <w:pPr>
        <w:spacing w:line="360" w:lineRule="auto"/>
        <w:ind w:firstLine="567"/>
        <w:rPr>
          <w:rFonts w:cstheme="minorHAnsi"/>
        </w:rPr>
      </w:pPr>
      <w:r w:rsidRPr="004874BF">
        <w:rPr>
          <w:rFonts w:ascii="Calibri" w:hAnsi="Calibri" w:cs="Calibri"/>
        </w:rPr>
        <w:t>Figure 1 shows the macroeconomic projections for selected macro variables generated in the baseline forecast in year-on-year percentage change terms. Figure 2 shows macroeconomic projects for GDP from the income side, specifically, in cumulative percentage change terms, relative to 2011. Apart from increases in capital and labour, real GDP growth is also generated from technical progress or productivity gains. Given the growth in capital and labour projected over the forecast period, and taking into consideration that each contributes roughly half of gross value added (GVA) at factor cost, we find that technical change improvements contributing to around 28 per cent of the projected GDP growth should be generated. We have made conservative estimates regarding employment growth. Employment is forecast to rise in line with population growth</w:t>
      </w:r>
      <w:r w:rsidRPr="00737A41">
        <w:rPr>
          <w:rFonts w:ascii="Arial" w:hAnsi="Arial"/>
        </w:rPr>
        <w:t xml:space="preserve"> thereby leaving the unemployment rate virtually unchanged. </w:t>
      </w:r>
      <w:r w:rsidRPr="004874BF">
        <w:rPr>
          <w:rFonts w:cstheme="minorHAnsi"/>
        </w:rPr>
        <w:lastRenderedPageBreak/>
        <w:t xml:space="preserve">Inflation is forecast to remain within the inflation target range, rising an average of 5.6 per cent per annum over the forecast period. </w:t>
      </w:r>
    </w:p>
    <w:p w14:paraId="40926E08" w14:textId="77777777" w:rsidR="004874BF" w:rsidRPr="004874BF" w:rsidRDefault="004874BF" w:rsidP="004874BF">
      <w:pPr>
        <w:spacing w:line="360" w:lineRule="auto"/>
        <w:ind w:firstLine="567"/>
        <w:rPr>
          <w:rFonts w:cstheme="minorHAnsi"/>
        </w:rPr>
      </w:pPr>
      <w:r w:rsidRPr="004874BF">
        <w:rPr>
          <w:rFonts w:cstheme="minorHAnsi"/>
        </w:rPr>
        <w:t xml:space="preserve">On an industry level, we find that industry output typically follows the performance of the main macro variable with which it has the closest association.  Primary and secondary industries, which are export intensive such as mining and selected manufacturers, are therefore expected to perform in line with projected export growth. Similarly, the construction industry’s fortunes are closely tied to projections concerning investment growth in the baseline. </w:t>
      </w:r>
    </w:p>
    <w:p w14:paraId="65796836" w14:textId="77777777" w:rsidR="004874BF" w:rsidRPr="00BC30CC" w:rsidRDefault="004874BF" w:rsidP="00BC30CC">
      <w:pPr>
        <w:spacing w:line="360" w:lineRule="auto"/>
        <w:rPr>
          <w:b/>
        </w:rPr>
      </w:pPr>
      <w:r w:rsidRPr="00BC30CC">
        <w:rPr>
          <w:b/>
        </w:rPr>
        <w:t>Figure 1: Macro Forecasts for 2012-2035 (year-on-year percentage change)</w:t>
      </w:r>
    </w:p>
    <w:p w14:paraId="7D9FD16E" w14:textId="77777777" w:rsidR="004874BF" w:rsidRDefault="004874BF" w:rsidP="004874BF">
      <w:pPr>
        <w:spacing w:line="360" w:lineRule="auto"/>
        <w:rPr>
          <w:rFonts w:ascii="Arial" w:hAnsi="Arial"/>
        </w:rPr>
      </w:pPr>
      <w:r>
        <w:rPr>
          <w:noProof/>
          <w:lang w:eastAsia="en-ZA"/>
        </w:rPr>
        <w:drawing>
          <wp:inline distT="0" distB="0" distL="0" distR="0" wp14:anchorId="3764B682" wp14:editId="2DBA78E9">
            <wp:extent cx="4791456" cy="2326234"/>
            <wp:effectExtent l="0" t="0" r="9525" b="171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3265CA" w14:textId="77777777" w:rsidR="004874BF" w:rsidRPr="00BC30CC" w:rsidRDefault="00BC30CC" w:rsidP="00BC30CC">
      <w:pPr>
        <w:spacing w:line="360" w:lineRule="auto"/>
        <w:rPr>
          <w:b/>
        </w:rPr>
      </w:pPr>
      <w:r>
        <w:rPr>
          <w:b/>
        </w:rPr>
        <w:t xml:space="preserve">Figure </w:t>
      </w:r>
      <w:r w:rsidR="004874BF" w:rsidRPr="00BC30CC">
        <w:rPr>
          <w:b/>
        </w:rPr>
        <w:t>2: Macro Forecasts for 2012-2035 (cumulative percentage change)</w:t>
      </w:r>
    </w:p>
    <w:p w14:paraId="6377E7E6" w14:textId="77777777" w:rsidR="004874BF" w:rsidRDefault="004874BF" w:rsidP="004874BF">
      <w:pPr>
        <w:spacing w:line="360" w:lineRule="auto"/>
        <w:rPr>
          <w:rFonts w:ascii="Arial" w:hAnsi="Arial"/>
        </w:rPr>
      </w:pPr>
      <w:r>
        <w:rPr>
          <w:noProof/>
          <w:lang w:eastAsia="en-ZA"/>
        </w:rPr>
        <w:drawing>
          <wp:inline distT="0" distB="0" distL="0" distR="0" wp14:anchorId="65BD5AC2" wp14:editId="2C4FB5B2">
            <wp:extent cx="4791456" cy="2238451"/>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084397" w14:textId="77777777" w:rsidR="004874BF" w:rsidRDefault="004874BF" w:rsidP="004874BF">
      <w:pPr>
        <w:spacing w:line="360" w:lineRule="auto"/>
        <w:ind w:firstLine="567"/>
        <w:rPr>
          <w:rFonts w:ascii="Arial" w:hAnsi="Arial"/>
        </w:rPr>
      </w:pPr>
    </w:p>
    <w:p w14:paraId="7A15B3F2" w14:textId="77777777" w:rsidR="004874BF" w:rsidRPr="004874BF" w:rsidRDefault="004874BF" w:rsidP="004874BF">
      <w:pPr>
        <w:spacing w:line="360" w:lineRule="auto"/>
        <w:ind w:firstLine="567"/>
        <w:rPr>
          <w:rFonts w:cstheme="minorHAnsi"/>
        </w:rPr>
      </w:pPr>
      <w:r w:rsidRPr="004874BF">
        <w:rPr>
          <w:rFonts w:cstheme="minorHAnsi"/>
        </w:rPr>
        <w:t xml:space="preserve">For the purpose of this baseline forecast, no explicit assumptions were made regarding future improvements to efficiency and costs competitiveness of clean technologies relative to fossil fuel based </w:t>
      </w:r>
      <w:r w:rsidRPr="004874BF">
        <w:rPr>
          <w:rFonts w:cstheme="minorHAnsi"/>
        </w:rPr>
        <w:lastRenderedPageBreak/>
        <w:t>sources in the electricity generation mix. We have also assumed the ratio of each electricity generation technology relative to total electricity generation to remain fixed in the baseline relative to 2014 values. Subsequently, CO</w:t>
      </w:r>
      <w:r w:rsidRPr="00AB12A7">
        <w:rPr>
          <w:rFonts w:cstheme="minorHAnsi"/>
          <w:vertAlign w:val="subscript"/>
        </w:rPr>
        <w:t>2</w:t>
      </w:r>
      <w:r w:rsidRPr="004874BF">
        <w:rPr>
          <w:rFonts w:cstheme="minorHAnsi"/>
        </w:rPr>
        <w:t xml:space="preserve"> emissions are forecast to rise in line with real GDP. This is a simple BAU baseline, designed solely to help isolate and measure the impact of the proposed carbon tax as an instrument towards achieving government’s desired generation-mix and carbon emission targets. BAU baseline assumptions can easily be tweaked to incorporate future expectations regarding cost and efficiency of different technologies, but to establish an initial benchmark, we assumed the status quo to be maintained in this particular baseline forecast simulation. </w:t>
      </w:r>
    </w:p>
    <w:p w14:paraId="2DA53EAE" w14:textId="77777777" w:rsidR="004874BF" w:rsidRPr="004874BF" w:rsidRDefault="004874BF" w:rsidP="004874BF">
      <w:pPr>
        <w:spacing w:line="360" w:lineRule="auto"/>
        <w:ind w:firstLine="567"/>
        <w:rPr>
          <w:rFonts w:cstheme="minorHAnsi"/>
        </w:rPr>
      </w:pPr>
      <w:r w:rsidRPr="004874BF">
        <w:rPr>
          <w:rFonts w:cstheme="minorHAnsi"/>
        </w:rPr>
        <w:t>We do not consider any of the IRP Update (DoE, 2013) generation-mix options in our BAU baseline. The emissions cap targeted by policymakers, and subsequent shadow price, built into the IRP Update baseline scenarios make it difficult to assess what the impact of a carbon tax alone would be. Analysis presented in the IRP Update suggest that the carbon tax is too low to make any tangible difference to the optimal generation-mix given the emissions limit of 275MT per annum and indirect carbon price it imposes on the economy. However, that outcome is contingent on various cost competitiveness assumptions, especially regarding renewable technology, which has changed considerably since 2013. It should also be kept in mind that the IRP Update modelling was done through a suite of energy models whereas the analysis in this study is conducted with a CGE model linked to a carbon emissions database. We believe that imposing a carbon tax on the BAU baseline specified here is likely to yield the most accurate reflection of the impact of the tax on the overall economy and the behavioural changes it may lead to. However, given that the generation-mix and build programme is likely to be very different to that specified in our baseline, with or without the proposed carbon tax, results from the policy simulations should not be used to estimate the level of carbon emissions in the economy after the imposition of the tax, unless great care is taken. Instead, we advise the focus of our policy results to remain only the percentage change deviation, relative to the baseline path, caused by the carbon tax.</w:t>
      </w:r>
    </w:p>
    <w:p w14:paraId="3762651D" w14:textId="77777777" w:rsidR="004874BF" w:rsidRPr="00C27B2A" w:rsidRDefault="004874BF" w:rsidP="004874BF">
      <w:pPr>
        <w:pStyle w:val="Heading2"/>
      </w:pPr>
      <w:r w:rsidRPr="00C27B2A">
        <w:t>3.</w:t>
      </w:r>
      <w:r>
        <w:t>2</w:t>
      </w:r>
      <w:r w:rsidRPr="00C27B2A">
        <w:tab/>
      </w:r>
      <w:r>
        <w:t>Policy Scenarios</w:t>
      </w:r>
    </w:p>
    <w:p w14:paraId="54CDE373" w14:textId="77777777" w:rsidR="004874BF" w:rsidRPr="004874BF" w:rsidRDefault="004874BF" w:rsidP="00060C3E">
      <w:pPr>
        <w:spacing w:after="0" w:line="360" w:lineRule="auto"/>
        <w:rPr>
          <w:rFonts w:ascii="Calibri" w:hAnsi="Calibri" w:cs="Calibri"/>
        </w:rPr>
      </w:pPr>
      <w:r w:rsidRPr="004874BF">
        <w:rPr>
          <w:rFonts w:ascii="Calibri" w:eastAsia="Calibri" w:hAnsi="Calibri" w:cs="Calibri"/>
        </w:rPr>
        <w:t xml:space="preserve">In this section the results from the modelled impact of the proposed carbon tax on the economy of South Africa is discussed.  We are interested to see what the effects of the carbon tax would be on GDP and total carbon emissions in general, but also on some specific industries </w:t>
      </w:r>
      <w:r w:rsidR="00060C3E">
        <w:rPr>
          <w:rFonts w:ascii="Calibri" w:eastAsia="Calibri" w:hAnsi="Calibri" w:cs="Calibri"/>
        </w:rPr>
        <w:t>that</w:t>
      </w:r>
      <w:r w:rsidRPr="004874BF">
        <w:rPr>
          <w:rFonts w:ascii="Calibri" w:eastAsia="Calibri" w:hAnsi="Calibri" w:cs="Calibri"/>
        </w:rPr>
        <w:t xml:space="preserve"> might be more vulnerable than others.  The tax revenue is also recycled back into the economy in two ways such that the go</w:t>
      </w:r>
      <w:r w:rsidR="00060C3E">
        <w:rPr>
          <w:rFonts w:ascii="Calibri" w:eastAsia="Calibri" w:hAnsi="Calibri" w:cs="Calibri"/>
        </w:rPr>
        <w:t>vernment budget stays constant/</w:t>
      </w:r>
      <w:r w:rsidRPr="004874BF">
        <w:rPr>
          <w:rFonts w:ascii="Calibri" w:eastAsia="Calibri" w:hAnsi="Calibri" w:cs="Calibri"/>
        </w:rPr>
        <w:t xml:space="preserve">revenue neutral and we compare the </w:t>
      </w:r>
      <w:r w:rsidR="00060C3E">
        <w:rPr>
          <w:rFonts w:ascii="Calibri" w:eastAsia="Calibri" w:hAnsi="Calibri" w:cs="Calibri"/>
        </w:rPr>
        <w:t>different</w:t>
      </w:r>
      <w:r w:rsidRPr="004874BF">
        <w:rPr>
          <w:rFonts w:ascii="Calibri" w:eastAsia="Calibri" w:hAnsi="Calibri" w:cs="Calibri"/>
        </w:rPr>
        <w:t xml:space="preserve"> outcomes.  Furthermore, as alternative scenarios, the proposed first five years’ tax exemptions are phased out over the forecast period and the differences between the taxes with and without exemptions are discussed. </w:t>
      </w:r>
      <w:r w:rsidRPr="004874BF">
        <w:rPr>
          <w:rFonts w:ascii="Calibri" w:hAnsi="Calibri" w:cs="Calibri"/>
        </w:rPr>
        <w:t xml:space="preserve">The results are reported as deviations from the baseline which was described above. </w:t>
      </w:r>
    </w:p>
    <w:p w14:paraId="799B8B6A" w14:textId="77777777" w:rsidR="000B5F8F" w:rsidRPr="004874BF" w:rsidRDefault="000B5F8F" w:rsidP="004874BF">
      <w:pPr>
        <w:pStyle w:val="Heading4"/>
      </w:pPr>
      <w:r w:rsidRPr="004874BF">
        <w:lastRenderedPageBreak/>
        <w:t>Design of the tax policy scenarios</w:t>
      </w:r>
    </w:p>
    <w:p w14:paraId="5F405D23" w14:textId="77777777" w:rsidR="000F3BB8" w:rsidRPr="00B812DB" w:rsidRDefault="000F3BB8" w:rsidP="00060C3E">
      <w:pPr>
        <w:spacing w:after="0" w:line="360" w:lineRule="auto"/>
        <w:rPr>
          <w:lang w:val="en-GB"/>
        </w:rPr>
      </w:pPr>
      <w:r w:rsidRPr="00B812DB">
        <w:rPr>
          <w:lang w:val="en-GB"/>
        </w:rPr>
        <w:t xml:space="preserve">South Africa’s economy has historically been </w:t>
      </w:r>
      <w:r>
        <w:rPr>
          <w:lang w:val="en-GB"/>
        </w:rPr>
        <w:t xml:space="preserve">and still is </w:t>
      </w:r>
      <w:r w:rsidRPr="00B812DB">
        <w:rPr>
          <w:lang w:val="en-GB"/>
        </w:rPr>
        <w:t xml:space="preserve">dependent on coal as </w:t>
      </w:r>
      <w:r>
        <w:rPr>
          <w:lang w:val="en-GB"/>
        </w:rPr>
        <w:t xml:space="preserve">both </w:t>
      </w:r>
      <w:r w:rsidRPr="00B812DB">
        <w:rPr>
          <w:lang w:val="en-GB"/>
        </w:rPr>
        <w:t xml:space="preserve">an important mining sub-sector and more generally as the source of domestic energy. </w:t>
      </w:r>
      <w:r>
        <w:rPr>
          <w:lang w:val="en-GB"/>
        </w:rPr>
        <w:t>Dependence</w:t>
      </w:r>
      <w:r w:rsidRPr="00B812DB">
        <w:rPr>
          <w:lang w:val="en-GB"/>
        </w:rPr>
        <w:t xml:space="preserve"> on coal as the </w:t>
      </w:r>
      <w:r>
        <w:rPr>
          <w:lang w:val="en-GB"/>
        </w:rPr>
        <w:t xml:space="preserve">predominant electricity </w:t>
      </w:r>
      <w:r w:rsidRPr="00B812DB">
        <w:rPr>
          <w:lang w:val="en-GB"/>
        </w:rPr>
        <w:t xml:space="preserve">feedstock has created structural economic challenges in the desire to reduce the country’s high levels of greenhouse gas emissions </w:t>
      </w:r>
      <w:r>
        <w:rPr>
          <w:lang w:val="en-GB"/>
        </w:rPr>
        <w:t>(</w:t>
      </w:r>
      <w:r w:rsidRPr="00C44703">
        <w:rPr>
          <w:lang w:val="en-GB"/>
        </w:rPr>
        <w:t>GHG</w:t>
      </w:r>
      <w:r>
        <w:rPr>
          <w:lang w:val="en-GB"/>
        </w:rPr>
        <w:t>s)</w:t>
      </w:r>
      <w:r w:rsidRPr="00B812DB">
        <w:rPr>
          <w:lang w:val="en-GB"/>
        </w:rPr>
        <w:t xml:space="preserve"> per unit of </w:t>
      </w:r>
      <w:r>
        <w:rPr>
          <w:lang w:val="en-GB"/>
        </w:rPr>
        <w:t>Gross Domestic Product (</w:t>
      </w:r>
      <w:r w:rsidRPr="00B812DB">
        <w:rPr>
          <w:lang w:val="en-GB"/>
        </w:rPr>
        <w:t>GDP</w:t>
      </w:r>
      <w:r>
        <w:rPr>
          <w:lang w:val="en-GB"/>
        </w:rPr>
        <w:t>)</w:t>
      </w:r>
      <w:r w:rsidRPr="00B812DB">
        <w:rPr>
          <w:lang w:val="en-GB"/>
        </w:rPr>
        <w:t xml:space="preserve">.  To address this, and in a demonstration of climate change leadership, South Africa committed to making a fair contribution to the global effort to prevent anthropogenic climate change by curtailing its </w:t>
      </w:r>
      <w:r w:rsidRPr="00C44703">
        <w:rPr>
          <w:lang w:val="en-GB"/>
        </w:rPr>
        <w:t>GHGs</w:t>
      </w:r>
      <w:r w:rsidRPr="00C44703" w:rsidDel="00C44703">
        <w:rPr>
          <w:lang w:val="en-GB"/>
        </w:rPr>
        <w:t xml:space="preserve"> </w:t>
      </w:r>
      <w:r w:rsidRPr="00B812DB">
        <w:rPr>
          <w:lang w:val="en-GB"/>
        </w:rPr>
        <w:t xml:space="preserve">in a “peak-plateau-decline” (PPD) </w:t>
      </w:r>
      <w:r>
        <w:rPr>
          <w:lang w:val="en-GB"/>
        </w:rPr>
        <w:t>emissions trajectory</w:t>
      </w:r>
      <w:r w:rsidRPr="00B812DB">
        <w:rPr>
          <w:lang w:val="en-GB"/>
        </w:rPr>
        <w:t xml:space="preserve"> in </w:t>
      </w:r>
      <w:r>
        <w:rPr>
          <w:lang w:val="en-GB"/>
        </w:rPr>
        <w:t>2009</w:t>
      </w:r>
      <w:r w:rsidRPr="00B812DB">
        <w:rPr>
          <w:lang w:val="en-GB"/>
        </w:rPr>
        <w:t xml:space="preserve">.  The voluntary PPD commitment involves a 42 per cent reduction in </w:t>
      </w:r>
      <w:r w:rsidRPr="00C44703">
        <w:rPr>
          <w:lang w:val="en-GB"/>
        </w:rPr>
        <w:t>GHGs</w:t>
      </w:r>
      <w:r w:rsidRPr="00C44703" w:rsidDel="00C44703">
        <w:rPr>
          <w:lang w:val="en-GB"/>
        </w:rPr>
        <w:t xml:space="preserve"> </w:t>
      </w:r>
      <w:r w:rsidRPr="00B812DB">
        <w:rPr>
          <w:lang w:val="en-GB"/>
        </w:rPr>
        <w:t xml:space="preserve">by 2025 relative to business-as-usual (DEA 2011a and b).  </w:t>
      </w:r>
    </w:p>
    <w:p w14:paraId="4341FCD4" w14:textId="77777777" w:rsidR="000F3BB8" w:rsidRPr="009B654D" w:rsidRDefault="000F3BB8" w:rsidP="000F3BB8">
      <w:pPr>
        <w:spacing w:after="0"/>
        <w:rPr>
          <w:lang w:val="en-GB"/>
        </w:rPr>
      </w:pPr>
    </w:p>
    <w:p w14:paraId="558D272F" w14:textId="77777777" w:rsidR="004D3B02" w:rsidRDefault="000F3BB8" w:rsidP="00060C3E">
      <w:pPr>
        <w:spacing w:after="0" w:line="360" w:lineRule="auto"/>
        <w:rPr>
          <w:lang w:val="en-GB"/>
        </w:rPr>
      </w:pPr>
      <w:r w:rsidRPr="009B654D">
        <w:rPr>
          <w:lang w:val="en-GB"/>
        </w:rPr>
        <w:t xml:space="preserve">As one way of achieving the PPD targets, South Africa’s National Treasury proposed levying a </w:t>
      </w:r>
      <w:r>
        <w:rPr>
          <w:lang w:val="en-GB"/>
        </w:rPr>
        <w:t xml:space="preserve">carbon </w:t>
      </w:r>
      <w:r w:rsidRPr="009B654D">
        <w:rPr>
          <w:lang w:val="en-GB"/>
        </w:rPr>
        <w:t xml:space="preserve">tax on </w:t>
      </w:r>
      <w:r w:rsidR="004D3B02">
        <w:rPr>
          <w:lang w:val="en-GB"/>
        </w:rPr>
        <w:t>all actual</w:t>
      </w:r>
      <w:r>
        <w:rPr>
          <w:lang w:val="en-GB"/>
        </w:rPr>
        <w:t xml:space="preserve"> emissions</w:t>
      </w:r>
      <w:r w:rsidRPr="00C44703" w:rsidDel="00C44703">
        <w:rPr>
          <w:lang w:val="en-GB"/>
        </w:rPr>
        <w:t xml:space="preserve"> </w:t>
      </w:r>
      <w:r w:rsidRPr="009B654D">
        <w:rPr>
          <w:lang w:val="en-GB"/>
        </w:rPr>
        <w:t>so as to influence energy consumption and investment patterns</w:t>
      </w:r>
      <w:r>
        <w:rPr>
          <w:lang w:val="en-GB"/>
        </w:rPr>
        <w:t xml:space="preserve"> </w:t>
      </w:r>
      <w:r w:rsidRPr="009B654D">
        <w:rPr>
          <w:lang w:val="en-GB"/>
        </w:rPr>
        <w:t>(National Treasury 2013)</w:t>
      </w:r>
      <w:r w:rsidRPr="009B654D">
        <w:rPr>
          <w:rStyle w:val="FootnoteReference"/>
          <w:lang w:val="en-GB"/>
        </w:rPr>
        <w:footnoteReference w:id="3"/>
      </w:r>
      <w:r w:rsidRPr="009B654D">
        <w:rPr>
          <w:lang w:val="en-GB"/>
        </w:rPr>
        <w:t>.  In May 2013, National Treasury released a “Carbon Tax Policy Paper - Reducing Greenhouse Gas Emissions and Facilitating the Transition to a Green Economy”</w:t>
      </w:r>
      <w:r w:rsidR="004D3B02">
        <w:rPr>
          <w:lang w:val="en-GB"/>
        </w:rPr>
        <w:t xml:space="preserve">. </w:t>
      </w:r>
      <w:r w:rsidRPr="005367F8">
        <w:rPr>
          <w:lang w:val="en-GB"/>
        </w:rPr>
        <w:t>The Carbon Tax Policy Paper described in detail the design features of the proposed tax.  As a result</w:t>
      </w:r>
      <w:r>
        <w:rPr>
          <w:lang w:val="en-GB"/>
        </w:rPr>
        <w:t>,</w:t>
      </w:r>
      <w:r w:rsidRPr="005367F8">
        <w:rPr>
          <w:lang w:val="en-GB"/>
        </w:rPr>
        <w:t xml:space="preserve"> it was possible for the first time to model the potential impact of the carbon tax with reference to a proposed policy. </w:t>
      </w:r>
    </w:p>
    <w:p w14:paraId="23250B92" w14:textId="77777777" w:rsidR="004D3B02" w:rsidRDefault="004D3B02" w:rsidP="00060C3E">
      <w:pPr>
        <w:spacing w:after="0" w:line="360" w:lineRule="auto"/>
        <w:rPr>
          <w:lang w:val="en-GB"/>
        </w:rPr>
      </w:pPr>
    </w:p>
    <w:p w14:paraId="5F399D2E" w14:textId="77777777" w:rsidR="000F3BB8" w:rsidRPr="000366F0" w:rsidRDefault="000F3BB8" w:rsidP="00060C3E">
      <w:pPr>
        <w:spacing w:after="0" w:line="360" w:lineRule="auto"/>
        <w:rPr>
          <w:lang w:val="en-GB"/>
        </w:rPr>
      </w:pPr>
      <w:r w:rsidRPr="005367F8">
        <w:rPr>
          <w:lang w:val="en-GB"/>
        </w:rPr>
        <w:t xml:space="preserve">In this </w:t>
      </w:r>
      <w:r w:rsidR="004D3B02">
        <w:rPr>
          <w:lang w:val="en-GB"/>
        </w:rPr>
        <w:t>section</w:t>
      </w:r>
      <w:r w:rsidRPr="005367F8">
        <w:rPr>
          <w:lang w:val="en-GB"/>
        </w:rPr>
        <w:t xml:space="preserve"> we seek to conte</w:t>
      </w:r>
      <w:r w:rsidR="004D3B02">
        <w:rPr>
          <w:lang w:val="en-GB"/>
        </w:rPr>
        <w:t>xtualize the modelling work by d</w:t>
      </w:r>
      <w:r w:rsidRPr="009B654D">
        <w:rPr>
          <w:lang w:val="en-GB"/>
        </w:rPr>
        <w:t>escribing the key design features of South Africa’s proposed carbon tax and how the</w:t>
      </w:r>
      <w:r>
        <w:rPr>
          <w:lang w:val="en-GB"/>
        </w:rPr>
        <w:t>y</w:t>
      </w:r>
      <w:r w:rsidRPr="009B654D">
        <w:rPr>
          <w:lang w:val="en-GB"/>
        </w:rPr>
        <w:t xml:space="preserve"> have been captured in the modelling exercise.  </w:t>
      </w:r>
      <w:r w:rsidRPr="009B654D">
        <w:t>It is acknowledged that there are a number of previous studies on this topic</w:t>
      </w:r>
      <w:r w:rsidR="00AB12A7">
        <w:t xml:space="preserve"> as mentioned above.  </w:t>
      </w:r>
      <w:r w:rsidRPr="009B654D">
        <w:t>This study, however,</w:t>
      </w:r>
      <w:r w:rsidR="004D3B02">
        <w:t xml:space="preserve"> draws</w:t>
      </w:r>
      <w:r w:rsidRPr="009B654D">
        <w:t xml:space="preserve"> on the published </w:t>
      </w:r>
      <w:r>
        <w:t xml:space="preserve">Carbon Tax </w:t>
      </w:r>
      <w:r w:rsidRPr="009B654D">
        <w:t>Policy Paper.  As such</w:t>
      </w:r>
      <w:r>
        <w:t>,</w:t>
      </w:r>
      <w:r w:rsidRPr="009B654D">
        <w:t xml:space="preserve"> it is able to indicate the extent of </w:t>
      </w:r>
      <w:r w:rsidRPr="00C44703">
        <w:rPr>
          <w:lang w:val="en-GB"/>
        </w:rPr>
        <w:t>GHG</w:t>
      </w:r>
      <w:r w:rsidRPr="00C44703" w:rsidDel="00C44703">
        <w:t xml:space="preserve"> </w:t>
      </w:r>
      <w:r w:rsidRPr="009B654D">
        <w:t>emissions</w:t>
      </w:r>
      <w:r>
        <w:t xml:space="preserve"> </w:t>
      </w:r>
      <w:r w:rsidRPr="009B654D">
        <w:t>mitigation that is likely to be achieved by the proposed tax</w:t>
      </w:r>
      <w:r>
        <w:t xml:space="preserve"> design</w:t>
      </w:r>
      <w:r w:rsidRPr="009B654D">
        <w:t xml:space="preserve">, and by implication the extent </w:t>
      </w:r>
      <w:r>
        <w:t>to which</w:t>
      </w:r>
      <w:r w:rsidRPr="009B654D">
        <w:t xml:space="preserve"> other measures might be required to meet specific mitigation targets.  </w:t>
      </w:r>
    </w:p>
    <w:p w14:paraId="404FCFF1" w14:textId="77777777" w:rsidR="000F3BB8" w:rsidRPr="009B654D" w:rsidRDefault="000F3BB8" w:rsidP="00060C3E">
      <w:pPr>
        <w:pStyle w:val="ListParagraph"/>
        <w:spacing w:line="360" w:lineRule="auto"/>
        <w:jc w:val="both"/>
        <w:rPr>
          <w:sz w:val="22"/>
          <w:szCs w:val="22"/>
          <w:lang w:val="en-GB"/>
        </w:rPr>
      </w:pPr>
    </w:p>
    <w:p w14:paraId="50E92F69" w14:textId="77777777" w:rsidR="000F3BB8" w:rsidRDefault="000F3BB8" w:rsidP="00060C3E">
      <w:pPr>
        <w:spacing w:after="0" w:line="360" w:lineRule="auto"/>
        <w:rPr>
          <w:lang w:val="en-GB"/>
        </w:rPr>
      </w:pPr>
      <w:r w:rsidRPr="009B654D">
        <w:rPr>
          <w:lang w:val="en-GB"/>
        </w:rPr>
        <w:t xml:space="preserve">The need for a carbon tax is justified </w:t>
      </w:r>
      <w:r>
        <w:rPr>
          <w:lang w:val="en-GB"/>
        </w:rPr>
        <w:t>by its potential role in</w:t>
      </w:r>
      <w:r w:rsidR="000E1481">
        <w:rPr>
          <w:lang w:val="en-GB"/>
        </w:rPr>
        <w:t xml:space="preserve"> (i) reaching mitigation targets, (ii) assisting with structural reform, and (iii) protecting South Africa’s competitive advantage. </w:t>
      </w:r>
    </w:p>
    <w:p w14:paraId="1CCCA756" w14:textId="77777777" w:rsidR="000E1481" w:rsidRDefault="000E1481" w:rsidP="00060C3E">
      <w:pPr>
        <w:spacing w:after="0" w:line="360" w:lineRule="auto"/>
        <w:rPr>
          <w:lang w:val="en-GB"/>
        </w:rPr>
      </w:pPr>
    </w:p>
    <w:p w14:paraId="723C6010" w14:textId="77777777" w:rsidR="000F3BB8" w:rsidRDefault="000E1481" w:rsidP="00060C3E">
      <w:pPr>
        <w:spacing w:after="0" w:line="360" w:lineRule="auto"/>
        <w:rPr>
          <w:lang w:val="en-GB"/>
        </w:rPr>
      </w:pPr>
      <w:r>
        <w:rPr>
          <w:lang w:val="en-GB"/>
        </w:rPr>
        <w:t xml:space="preserve">South Africa adopted a </w:t>
      </w:r>
      <w:r w:rsidR="000F3BB8" w:rsidRPr="00B812DB">
        <w:rPr>
          <w:lang w:val="en-GB"/>
        </w:rPr>
        <w:t xml:space="preserve">voluntary target of 34 per cent reduction in </w:t>
      </w:r>
      <w:r w:rsidR="000F3BB8" w:rsidRPr="00116075">
        <w:rPr>
          <w:lang w:val="en-GB"/>
        </w:rPr>
        <w:t>GHGs</w:t>
      </w:r>
      <w:r w:rsidR="000F3BB8" w:rsidRPr="00116075" w:rsidDel="00116075">
        <w:rPr>
          <w:lang w:val="en-GB"/>
        </w:rPr>
        <w:t xml:space="preserve"> </w:t>
      </w:r>
      <w:r w:rsidR="000F3BB8" w:rsidRPr="00B812DB">
        <w:rPr>
          <w:lang w:val="en-GB"/>
        </w:rPr>
        <w:t xml:space="preserve">by 2020 (and 42 per cent by 2025) relative to business as usual, as outlined in the National Climate Change Response </w:t>
      </w:r>
      <w:r w:rsidR="000F3BB8">
        <w:rPr>
          <w:lang w:val="en-GB"/>
        </w:rPr>
        <w:t xml:space="preserve">White </w:t>
      </w:r>
      <w:r w:rsidR="000F3BB8" w:rsidRPr="00B812DB">
        <w:rPr>
          <w:lang w:val="en-GB"/>
        </w:rPr>
        <w:t>Paper (DEA</w:t>
      </w:r>
      <w:r w:rsidR="000F3BB8">
        <w:rPr>
          <w:lang w:val="en-GB"/>
        </w:rPr>
        <w:t>,</w:t>
      </w:r>
      <w:r w:rsidR="000F3BB8" w:rsidRPr="00B812DB">
        <w:rPr>
          <w:lang w:val="en-GB"/>
        </w:rPr>
        <w:t xml:space="preserve"> 2011a).  The tax serves as a price signal to carbon intensive sectors and firms within those sectors.  (ERC</w:t>
      </w:r>
      <w:r w:rsidR="000F3BB8">
        <w:rPr>
          <w:lang w:val="en-GB"/>
        </w:rPr>
        <w:t>,</w:t>
      </w:r>
      <w:r w:rsidR="000F3BB8" w:rsidRPr="00B812DB">
        <w:rPr>
          <w:lang w:val="en-GB"/>
        </w:rPr>
        <w:t xml:space="preserve"> 2007)</w:t>
      </w:r>
      <w:r w:rsidR="000F3BB8">
        <w:rPr>
          <w:lang w:val="en-GB"/>
        </w:rPr>
        <w:t>.</w:t>
      </w:r>
    </w:p>
    <w:p w14:paraId="113E2D24" w14:textId="77777777" w:rsidR="000E1481" w:rsidRDefault="000E1481" w:rsidP="00060C3E">
      <w:pPr>
        <w:spacing w:after="0" w:line="360" w:lineRule="auto"/>
        <w:rPr>
          <w:lang w:val="en-GB"/>
        </w:rPr>
      </w:pPr>
    </w:p>
    <w:p w14:paraId="19568424" w14:textId="77777777" w:rsidR="000E1481" w:rsidRDefault="000E1481" w:rsidP="00060C3E">
      <w:pPr>
        <w:spacing w:after="0" w:line="360" w:lineRule="auto"/>
        <w:rPr>
          <w:lang w:val="en-GB"/>
        </w:rPr>
      </w:pPr>
      <w:r w:rsidRPr="009B654D">
        <w:rPr>
          <w:lang w:val="en-GB"/>
        </w:rPr>
        <w:t xml:space="preserve">The South African tax has its theoretical underpinnings in the need to internalise the </w:t>
      </w:r>
      <w:r>
        <w:rPr>
          <w:lang w:val="en-GB"/>
        </w:rPr>
        <w:t>negative</w:t>
      </w:r>
      <w:r w:rsidRPr="009B654D">
        <w:rPr>
          <w:lang w:val="en-GB"/>
        </w:rPr>
        <w:t xml:space="preserve"> externality </w:t>
      </w:r>
      <w:r>
        <w:rPr>
          <w:lang w:val="en-GB"/>
        </w:rPr>
        <w:t xml:space="preserve">of emissions and thereby supporting </w:t>
      </w:r>
      <w:r w:rsidRPr="009B654D">
        <w:rPr>
          <w:lang w:val="en-GB"/>
        </w:rPr>
        <w:t xml:space="preserve">a structural transition of the national economy towards a more climate </w:t>
      </w:r>
      <w:r w:rsidRPr="009B654D">
        <w:rPr>
          <w:lang w:val="en-GB"/>
        </w:rPr>
        <w:lastRenderedPageBreak/>
        <w:t>resilient</w:t>
      </w:r>
      <w:r>
        <w:rPr>
          <w:lang w:val="en-GB"/>
        </w:rPr>
        <w:t xml:space="preserve"> and</w:t>
      </w:r>
      <w:r w:rsidRPr="009B654D">
        <w:rPr>
          <w:lang w:val="en-GB"/>
        </w:rPr>
        <w:t xml:space="preserve"> less carbon intensive economy.  Both the National Development Plan and South Africa’s Green Economy Accord (DED</w:t>
      </w:r>
      <w:r>
        <w:rPr>
          <w:lang w:val="en-GB"/>
        </w:rPr>
        <w:t>,</w:t>
      </w:r>
      <w:r w:rsidRPr="009B654D">
        <w:rPr>
          <w:lang w:val="en-GB"/>
        </w:rPr>
        <w:t xml:space="preserve"> 2011) </w:t>
      </w:r>
      <w:r>
        <w:rPr>
          <w:lang w:val="en-GB"/>
        </w:rPr>
        <w:t>highlight</w:t>
      </w:r>
      <w:r w:rsidRPr="009B654D">
        <w:rPr>
          <w:lang w:val="en-GB"/>
        </w:rPr>
        <w:t xml:space="preserve"> that this economy will also be more labour intensive.</w:t>
      </w:r>
    </w:p>
    <w:p w14:paraId="27180630" w14:textId="77777777" w:rsidR="00CF75AC" w:rsidRDefault="00CF75AC" w:rsidP="00060C3E">
      <w:pPr>
        <w:spacing w:after="0" w:line="360" w:lineRule="auto"/>
        <w:rPr>
          <w:lang w:val="en-GB"/>
        </w:rPr>
      </w:pPr>
    </w:p>
    <w:p w14:paraId="5FB22040" w14:textId="77777777" w:rsidR="000F3BB8" w:rsidRPr="009B654D" w:rsidRDefault="00CF75AC" w:rsidP="00060C3E">
      <w:pPr>
        <w:spacing w:after="0" w:line="360" w:lineRule="auto"/>
        <w:rPr>
          <w:lang w:val="en-GB"/>
        </w:rPr>
      </w:pPr>
      <w:r>
        <w:rPr>
          <w:lang w:val="en-GB"/>
        </w:rPr>
        <w:t>Lastly, i</w:t>
      </w:r>
      <w:r w:rsidR="000F3BB8" w:rsidRPr="009B654D">
        <w:rPr>
          <w:lang w:val="en-GB"/>
        </w:rPr>
        <w:t>t is hoped that making an “early move” (National Treasury</w:t>
      </w:r>
      <w:r w:rsidR="000F3BB8">
        <w:rPr>
          <w:lang w:val="en-GB"/>
        </w:rPr>
        <w:t>,</w:t>
      </w:r>
      <w:r w:rsidR="000F3BB8" w:rsidRPr="009B654D">
        <w:rPr>
          <w:lang w:val="en-GB"/>
        </w:rPr>
        <w:t xml:space="preserve"> 2013:16) will provide </w:t>
      </w:r>
      <w:r w:rsidR="000F3BB8">
        <w:rPr>
          <w:lang w:val="en-GB"/>
        </w:rPr>
        <w:t xml:space="preserve">a </w:t>
      </w:r>
      <w:r w:rsidR="000F3BB8" w:rsidRPr="009B654D">
        <w:rPr>
          <w:lang w:val="en-GB"/>
        </w:rPr>
        <w:t xml:space="preserve">competitive advantage </w:t>
      </w:r>
      <w:r w:rsidR="000F3BB8">
        <w:rPr>
          <w:lang w:val="en-GB"/>
        </w:rPr>
        <w:t xml:space="preserve">to South Africa </w:t>
      </w:r>
      <w:r w:rsidR="000F3BB8" w:rsidRPr="009B654D">
        <w:rPr>
          <w:lang w:val="en-GB"/>
        </w:rPr>
        <w:t>in accessing new markets that may be about to implement</w:t>
      </w:r>
      <w:r w:rsidR="000F3BB8">
        <w:rPr>
          <w:lang w:val="en-GB"/>
        </w:rPr>
        <w:t xml:space="preserve"> BCAs</w:t>
      </w:r>
      <w:r w:rsidR="000F3BB8" w:rsidRPr="009B654D">
        <w:rPr>
          <w:lang w:val="en-GB"/>
        </w:rPr>
        <w:t>.</w:t>
      </w:r>
    </w:p>
    <w:p w14:paraId="4F8C15A9" w14:textId="77777777" w:rsidR="000F3BB8" w:rsidRPr="009B654D" w:rsidRDefault="000F3BB8" w:rsidP="00060C3E">
      <w:pPr>
        <w:pStyle w:val="ListParagraph"/>
        <w:spacing w:line="360" w:lineRule="auto"/>
        <w:jc w:val="both"/>
        <w:rPr>
          <w:sz w:val="22"/>
          <w:szCs w:val="22"/>
          <w:lang w:val="en-GB"/>
        </w:rPr>
      </w:pPr>
    </w:p>
    <w:p w14:paraId="4C27C923" w14:textId="77777777" w:rsidR="000F3BB8" w:rsidRDefault="000F3BB8" w:rsidP="00060C3E">
      <w:pPr>
        <w:spacing w:after="0" w:line="360" w:lineRule="auto"/>
        <w:rPr>
          <w:lang w:val="en-GB"/>
        </w:rPr>
      </w:pPr>
      <w:r w:rsidRPr="009B654D">
        <w:rPr>
          <w:lang w:val="en-GB"/>
        </w:rPr>
        <w:t>Key design features of the proposed tax include:</w:t>
      </w:r>
    </w:p>
    <w:p w14:paraId="2D5C2E44" w14:textId="77777777" w:rsidR="000F3BB8" w:rsidRPr="009B654D" w:rsidRDefault="000F3BB8" w:rsidP="000F3BB8">
      <w:pPr>
        <w:spacing w:after="0"/>
        <w:rPr>
          <w:lang w:val="en-GB"/>
        </w:rPr>
      </w:pPr>
    </w:p>
    <w:p w14:paraId="4467A56B" w14:textId="77777777" w:rsidR="000F3BB8" w:rsidRPr="001A77A1" w:rsidRDefault="000F3BB8" w:rsidP="000F3BB8">
      <w:pPr>
        <w:pStyle w:val="ListParagraph"/>
        <w:numPr>
          <w:ilvl w:val="0"/>
          <w:numId w:val="8"/>
        </w:numPr>
        <w:spacing w:line="276" w:lineRule="auto"/>
        <w:jc w:val="both"/>
        <w:rPr>
          <w:sz w:val="22"/>
          <w:szCs w:val="22"/>
          <w:lang w:val="en-GB"/>
        </w:rPr>
      </w:pPr>
      <w:r w:rsidRPr="001A77A1">
        <w:rPr>
          <w:sz w:val="22"/>
          <w:szCs w:val="22"/>
          <w:lang w:val="en-GB"/>
        </w:rPr>
        <w:t xml:space="preserve">The tax is effectively a fossil fuel input tax levied on Scope 1 emissions – emissions that result from fuel combustion, gasification and non-energy industrial processes.  </w:t>
      </w:r>
    </w:p>
    <w:p w14:paraId="5741D4FC" w14:textId="77777777" w:rsidR="000F3BB8" w:rsidRDefault="000F3BB8" w:rsidP="000F3BB8">
      <w:pPr>
        <w:pStyle w:val="ListParagraph"/>
        <w:numPr>
          <w:ilvl w:val="0"/>
          <w:numId w:val="8"/>
        </w:numPr>
        <w:spacing w:line="276" w:lineRule="auto"/>
        <w:jc w:val="both"/>
        <w:rPr>
          <w:sz w:val="22"/>
          <w:szCs w:val="22"/>
          <w:lang w:val="en-GB"/>
        </w:rPr>
      </w:pPr>
      <w:r w:rsidRPr="009B654D">
        <w:rPr>
          <w:sz w:val="22"/>
          <w:szCs w:val="22"/>
          <w:lang w:val="en-GB"/>
        </w:rPr>
        <w:t>The tax is levied at R120/tCO</w:t>
      </w:r>
      <w:r w:rsidRPr="009B654D">
        <w:rPr>
          <w:sz w:val="22"/>
          <w:szCs w:val="22"/>
          <w:vertAlign w:val="subscript"/>
          <w:lang w:val="en-GB"/>
        </w:rPr>
        <w:t>2</w:t>
      </w:r>
      <w:r w:rsidRPr="009B654D">
        <w:rPr>
          <w:sz w:val="22"/>
          <w:szCs w:val="22"/>
          <w:lang w:val="en-GB"/>
        </w:rPr>
        <w:t xml:space="preserve">-eq, with implementation proposed to commence </w:t>
      </w:r>
      <w:r>
        <w:rPr>
          <w:sz w:val="22"/>
          <w:szCs w:val="22"/>
          <w:lang w:val="en-GB"/>
        </w:rPr>
        <w:t xml:space="preserve">in </w:t>
      </w:r>
      <w:r w:rsidRPr="009B654D">
        <w:rPr>
          <w:sz w:val="22"/>
          <w:szCs w:val="22"/>
          <w:lang w:val="en-GB"/>
        </w:rPr>
        <w:t xml:space="preserve">2016, and is set to increase by 10 per cent per annum over the first five years (R175.69 in 2020). </w:t>
      </w:r>
    </w:p>
    <w:p w14:paraId="13949C98" w14:textId="77777777" w:rsidR="000F3BB8" w:rsidRDefault="000F3BB8" w:rsidP="000F3BB8">
      <w:pPr>
        <w:pStyle w:val="ListParagraph"/>
        <w:numPr>
          <w:ilvl w:val="0"/>
          <w:numId w:val="4"/>
        </w:numPr>
        <w:spacing w:line="276" w:lineRule="auto"/>
        <w:jc w:val="both"/>
        <w:rPr>
          <w:sz w:val="22"/>
          <w:szCs w:val="22"/>
          <w:lang w:val="en-GB"/>
        </w:rPr>
      </w:pPr>
      <w:r w:rsidRPr="00B812DB">
        <w:rPr>
          <w:sz w:val="22"/>
          <w:szCs w:val="22"/>
          <w:lang w:val="en-GB"/>
        </w:rPr>
        <w:t>The tax is applied to the six greenhouse gases accounted for by the UNFCCC (CO</w:t>
      </w:r>
      <w:r w:rsidRPr="00B812DB">
        <w:rPr>
          <w:sz w:val="22"/>
          <w:szCs w:val="22"/>
          <w:vertAlign w:val="subscript"/>
          <w:lang w:val="en-GB"/>
        </w:rPr>
        <w:t>2</w:t>
      </w:r>
      <w:r w:rsidRPr="00B812DB">
        <w:rPr>
          <w:sz w:val="22"/>
          <w:szCs w:val="22"/>
          <w:lang w:val="en-GB"/>
        </w:rPr>
        <w:t>, CH</w:t>
      </w:r>
      <w:r w:rsidRPr="00B812DB">
        <w:rPr>
          <w:sz w:val="22"/>
          <w:szCs w:val="22"/>
          <w:vertAlign w:val="subscript"/>
          <w:lang w:val="en-GB"/>
        </w:rPr>
        <w:t>4</w:t>
      </w:r>
      <w:r w:rsidRPr="00B812DB">
        <w:rPr>
          <w:sz w:val="22"/>
          <w:szCs w:val="22"/>
          <w:lang w:val="en-GB"/>
        </w:rPr>
        <w:t>, N</w:t>
      </w:r>
      <w:r w:rsidRPr="00B812DB">
        <w:rPr>
          <w:sz w:val="22"/>
          <w:szCs w:val="22"/>
          <w:vertAlign w:val="subscript"/>
          <w:lang w:val="en-GB"/>
        </w:rPr>
        <w:t>2</w:t>
      </w:r>
      <w:r w:rsidRPr="00B812DB">
        <w:rPr>
          <w:sz w:val="22"/>
          <w:szCs w:val="22"/>
          <w:lang w:val="en-GB"/>
        </w:rPr>
        <w:t>O, PFCs, SF</w:t>
      </w:r>
      <w:r w:rsidRPr="00B812DB">
        <w:rPr>
          <w:sz w:val="22"/>
          <w:szCs w:val="22"/>
          <w:vertAlign w:val="subscript"/>
          <w:lang w:val="en-GB"/>
        </w:rPr>
        <w:t>6</w:t>
      </w:r>
      <w:r w:rsidRPr="00B812DB">
        <w:rPr>
          <w:sz w:val="22"/>
          <w:szCs w:val="22"/>
          <w:lang w:val="en-GB"/>
        </w:rPr>
        <w:t xml:space="preserve"> and HFCs) although no SF</w:t>
      </w:r>
      <w:r w:rsidRPr="00B812DB">
        <w:rPr>
          <w:sz w:val="22"/>
          <w:szCs w:val="22"/>
          <w:vertAlign w:val="subscript"/>
          <w:lang w:val="en-GB"/>
        </w:rPr>
        <w:t>6</w:t>
      </w:r>
      <w:r w:rsidRPr="00B812DB">
        <w:rPr>
          <w:sz w:val="22"/>
          <w:szCs w:val="22"/>
          <w:lang w:val="en-GB"/>
        </w:rPr>
        <w:t xml:space="preserve"> or HFC emissions are reported by South African firms. </w:t>
      </w:r>
    </w:p>
    <w:p w14:paraId="47482CEA" w14:textId="77777777" w:rsidR="000F3BB8" w:rsidRDefault="000F3BB8" w:rsidP="000F3BB8">
      <w:pPr>
        <w:pStyle w:val="ListParagraph"/>
        <w:numPr>
          <w:ilvl w:val="0"/>
          <w:numId w:val="4"/>
        </w:numPr>
        <w:spacing w:line="276" w:lineRule="auto"/>
        <w:jc w:val="both"/>
        <w:rPr>
          <w:sz w:val="22"/>
          <w:szCs w:val="22"/>
          <w:lang w:val="en-GB"/>
        </w:rPr>
      </w:pPr>
      <w:r w:rsidRPr="00B812DB">
        <w:rPr>
          <w:sz w:val="22"/>
          <w:szCs w:val="22"/>
          <w:lang w:val="en-GB"/>
        </w:rPr>
        <w:t xml:space="preserve">Every sector </w:t>
      </w:r>
      <w:r>
        <w:rPr>
          <w:sz w:val="22"/>
          <w:szCs w:val="22"/>
          <w:lang w:val="en-GB"/>
        </w:rPr>
        <w:t>is provided</w:t>
      </w:r>
      <w:r w:rsidRPr="00B812DB">
        <w:rPr>
          <w:sz w:val="22"/>
          <w:szCs w:val="22"/>
          <w:lang w:val="en-GB"/>
        </w:rPr>
        <w:t xml:space="preserve"> with a basic exemption of 60 per cent of their emissions during the initial five years, but specific sectors may qualify for further exemptions </w:t>
      </w:r>
      <w:r>
        <w:rPr>
          <w:sz w:val="22"/>
          <w:szCs w:val="22"/>
          <w:lang w:val="en-GB"/>
        </w:rPr>
        <w:t xml:space="preserve">(up to a maximum of 90 per cent) </w:t>
      </w:r>
      <w:r w:rsidRPr="00B812DB">
        <w:rPr>
          <w:sz w:val="22"/>
          <w:szCs w:val="22"/>
          <w:lang w:val="en-GB"/>
        </w:rPr>
        <w:t>as a result of their structural or technical inability to cut emissions</w:t>
      </w:r>
      <w:r>
        <w:rPr>
          <w:sz w:val="22"/>
          <w:szCs w:val="22"/>
          <w:lang w:val="en-GB"/>
        </w:rPr>
        <w:t>,</w:t>
      </w:r>
      <w:r w:rsidRPr="00B812DB">
        <w:rPr>
          <w:sz w:val="22"/>
          <w:szCs w:val="22"/>
          <w:lang w:val="en-GB"/>
        </w:rPr>
        <w:t xml:space="preserve"> </w:t>
      </w:r>
      <w:r>
        <w:rPr>
          <w:sz w:val="22"/>
          <w:szCs w:val="22"/>
          <w:lang w:val="en-GB"/>
        </w:rPr>
        <w:t xml:space="preserve">Z-factor allowance as recognition for </w:t>
      </w:r>
      <w:r w:rsidRPr="00B812DB">
        <w:rPr>
          <w:sz w:val="22"/>
          <w:szCs w:val="22"/>
          <w:lang w:val="en-GB"/>
        </w:rPr>
        <w:t xml:space="preserve">best </w:t>
      </w:r>
      <w:r>
        <w:rPr>
          <w:sz w:val="22"/>
          <w:szCs w:val="22"/>
          <w:lang w:val="en-GB"/>
        </w:rPr>
        <w:t>performance of firm with</w:t>
      </w:r>
      <w:r w:rsidRPr="00B812DB">
        <w:rPr>
          <w:sz w:val="22"/>
          <w:szCs w:val="22"/>
          <w:lang w:val="en-GB"/>
        </w:rPr>
        <w:t xml:space="preserve">in </w:t>
      </w:r>
      <w:r>
        <w:rPr>
          <w:sz w:val="22"/>
          <w:szCs w:val="22"/>
          <w:lang w:val="en-GB"/>
        </w:rPr>
        <w:t xml:space="preserve">the </w:t>
      </w:r>
      <w:r w:rsidRPr="00B812DB">
        <w:rPr>
          <w:sz w:val="22"/>
          <w:szCs w:val="22"/>
          <w:lang w:val="en-GB"/>
        </w:rPr>
        <w:t xml:space="preserve">sector, trade </w:t>
      </w:r>
      <w:r>
        <w:rPr>
          <w:sz w:val="22"/>
          <w:szCs w:val="22"/>
          <w:lang w:val="en-GB"/>
        </w:rPr>
        <w:t xml:space="preserve">exposure </w:t>
      </w:r>
      <w:r w:rsidRPr="00B812DB">
        <w:rPr>
          <w:sz w:val="22"/>
          <w:szCs w:val="22"/>
          <w:lang w:val="en-GB"/>
        </w:rPr>
        <w:t xml:space="preserve">exemptions and </w:t>
      </w:r>
      <w:r w:rsidRPr="003A365C">
        <w:rPr>
          <w:i/>
          <w:sz w:val="22"/>
          <w:szCs w:val="22"/>
          <w:lang w:val="en-GB"/>
        </w:rPr>
        <w:t>via</w:t>
      </w:r>
      <w:r w:rsidRPr="00B812DB">
        <w:rPr>
          <w:sz w:val="22"/>
          <w:szCs w:val="22"/>
          <w:lang w:val="en-GB"/>
        </w:rPr>
        <w:t xml:space="preserve"> </w:t>
      </w:r>
      <w:r>
        <w:rPr>
          <w:sz w:val="22"/>
          <w:szCs w:val="22"/>
          <w:lang w:val="en-GB"/>
        </w:rPr>
        <w:t xml:space="preserve">carbon </w:t>
      </w:r>
      <w:r w:rsidRPr="00B812DB">
        <w:rPr>
          <w:sz w:val="22"/>
          <w:szCs w:val="22"/>
          <w:lang w:val="en-GB"/>
        </w:rPr>
        <w:t xml:space="preserve">offsets.  The 60 per cent threshold and the exemption categories are to be reviewed after the initial 5-year </w:t>
      </w:r>
      <w:r>
        <w:rPr>
          <w:sz w:val="22"/>
          <w:szCs w:val="22"/>
          <w:lang w:val="en-GB"/>
        </w:rPr>
        <w:t>phase</w:t>
      </w:r>
      <w:r w:rsidRPr="00B812DB">
        <w:rPr>
          <w:sz w:val="22"/>
          <w:szCs w:val="22"/>
          <w:lang w:val="en-GB"/>
        </w:rPr>
        <w:t>.  It should be noted that the full marginal tax of R120/tCO</w:t>
      </w:r>
      <w:r w:rsidRPr="00B812DB">
        <w:rPr>
          <w:sz w:val="22"/>
          <w:szCs w:val="22"/>
          <w:vertAlign w:val="subscript"/>
          <w:lang w:val="en-GB"/>
        </w:rPr>
        <w:t>2</w:t>
      </w:r>
      <w:r w:rsidRPr="00B812DB">
        <w:rPr>
          <w:sz w:val="22"/>
          <w:szCs w:val="22"/>
          <w:lang w:val="en-GB"/>
        </w:rPr>
        <w:t>-eq is levied on the non-exempted portion of the emission</w:t>
      </w:r>
      <w:r>
        <w:rPr>
          <w:sz w:val="22"/>
          <w:szCs w:val="22"/>
          <w:lang w:val="en-GB"/>
        </w:rPr>
        <w:t>s</w:t>
      </w:r>
      <w:r w:rsidRPr="00B812DB">
        <w:rPr>
          <w:sz w:val="22"/>
          <w:szCs w:val="22"/>
          <w:lang w:val="en-GB"/>
        </w:rPr>
        <w:t>.</w:t>
      </w:r>
    </w:p>
    <w:p w14:paraId="36EFE19A" w14:textId="77777777" w:rsidR="000F3BB8" w:rsidRDefault="000F3BB8" w:rsidP="000F3BB8">
      <w:pPr>
        <w:pStyle w:val="ListParagraph"/>
        <w:widowControl w:val="0"/>
        <w:numPr>
          <w:ilvl w:val="0"/>
          <w:numId w:val="4"/>
        </w:numPr>
        <w:autoSpaceDE w:val="0"/>
        <w:autoSpaceDN w:val="0"/>
        <w:adjustRightInd w:val="0"/>
        <w:spacing w:line="276" w:lineRule="auto"/>
        <w:jc w:val="both"/>
        <w:rPr>
          <w:sz w:val="22"/>
          <w:szCs w:val="22"/>
          <w:lang w:val="en-GB"/>
        </w:rPr>
      </w:pPr>
      <w:r w:rsidRPr="00B812DB">
        <w:rPr>
          <w:sz w:val="22"/>
          <w:szCs w:val="22"/>
          <w:lang w:val="en-GB"/>
        </w:rPr>
        <w:t>In the initial 5-year window it is proposed that agriculture, forestry, waste handling and land-use activities receive a</w:t>
      </w:r>
      <w:r>
        <w:rPr>
          <w:sz w:val="22"/>
          <w:szCs w:val="22"/>
          <w:lang w:val="en-GB"/>
        </w:rPr>
        <w:t xml:space="preserve">n additional </w:t>
      </w:r>
      <w:r w:rsidRPr="00B812DB">
        <w:rPr>
          <w:sz w:val="22"/>
          <w:szCs w:val="22"/>
          <w:lang w:val="en-GB"/>
        </w:rPr>
        <w:t>40 per cent exemption, thereby rendering them 100 per cent exempt</w:t>
      </w:r>
      <w:r>
        <w:rPr>
          <w:sz w:val="22"/>
          <w:szCs w:val="22"/>
          <w:lang w:val="en-GB"/>
        </w:rPr>
        <w:t>ion from the tax</w:t>
      </w:r>
      <w:r w:rsidRPr="00B812DB">
        <w:rPr>
          <w:sz w:val="22"/>
          <w:szCs w:val="22"/>
          <w:lang w:val="en-GB"/>
        </w:rPr>
        <w:t xml:space="preserve">.  The cement, iron and steel, aluminium and glass sectors are listed as </w:t>
      </w:r>
      <w:r>
        <w:rPr>
          <w:sz w:val="22"/>
          <w:szCs w:val="22"/>
          <w:lang w:val="en-GB"/>
        </w:rPr>
        <w:t xml:space="preserve">among potential sectors </w:t>
      </w:r>
      <w:r w:rsidRPr="00B812DB">
        <w:rPr>
          <w:sz w:val="22"/>
          <w:szCs w:val="22"/>
          <w:lang w:val="en-GB"/>
        </w:rPr>
        <w:t>qualifying for a 10 per cent exemption on top of the blanket 60 per cent exemption</w:t>
      </w:r>
      <w:r>
        <w:rPr>
          <w:sz w:val="22"/>
          <w:szCs w:val="22"/>
          <w:lang w:val="en-GB"/>
        </w:rPr>
        <w:t>,</w:t>
      </w:r>
      <w:r w:rsidRPr="00B812DB">
        <w:rPr>
          <w:sz w:val="22"/>
          <w:szCs w:val="22"/>
          <w:lang w:val="en-GB"/>
        </w:rPr>
        <w:t xml:space="preserve"> due to the inherent </w:t>
      </w:r>
      <w:r>
        <w:rPr>
          <w:sz w:val="22"/>
          <w:szCs w:val="22"/>
          <w:lang w:val="en-GB"/>
        </w:rPr>
        <w:t xml:space="preserve">structural/ technical </w:t>
      </w:r>
      <w:r w:rsidRPr="00B812DB">
        <w:rPr>
          <w:sz w:val="22"/>
          <w:szCs w:val="22"/>
          <w:lang w:val="en-GB"/>
        </w:rPr>
        <w:t>difficulty the</w:t>
      </w:r>
      <w:r>
        <w:rPr>
          <w:sz w:val="22"/>
          <w:szCs w:val="22"/>
          <w:lang w:val="en-GB"/>
        </w:rPr>
        <w:t>se sectors</w:t>
      </w:r>
      <w:r w:rsidRPr="00B812DB">
        <w:rPr>
          <w:sz w:val="22"/>
          <w:szCs w:val="22"/>
          <w:lang w:val="en-GB"/>
        </w:rPr>
        <w:t xml:space="preserve"> are expected to confront in reducing emissions. </w:t>
      </w:r>
    </w:p>
    <w:p w14:paraId="2BAEAD8F" w14:textId="77777777" w:rsidR="000F3BB8" w:rsidRDefault="000F3BB8" w:rsidP="000F3BB8">
      <w:pPr>
        <w:pStyle w:val="ListParagraph"/>
        <w:widowControl w:val="0"/>
        <w:numPr>
          <w:ilvl w:val="0"/>
          <w:numId w:val="4"/>
        </w:numPr>
        <w:autoSpaceDE w:val="0"/>
        <w:autoSpaceDN w:val="0"/>
        <w:adjustRightInd w:val="0"/>
        <w:spacing w:line="276" w:lineRule="auto"/>
        <w:jc w:val="both"/>
        <w:rPr>
          <w:sz w:val="22"/>
          <w:szCs w:val="22"/>
          <w:lang w:val="en-GB"/>
        </w:rPr>
      </w:pPr>
      <w:r>
        <w:rPr>
          <w:sz w:val="22"/>
          <w:szCs w:val="22"/>
          <w:lang w:val="en-GB"/>
        </w:rPr>
        <w:t>T</w:t>
      </w:r>
      <w:r w:rsidRPr="009B654D">
        <w:rPr>
          <w:sz w:val="22"/>
          <w:szCs w:val="22"/>
          <w:lang w:val="en-GB"/>
        </w:rPr>
        <w:t xml:space="preserve">o protect the international competitiveness of South African industry and to prevent carbon-leakage through the relocation of firms, a further exemption of up to 10 per cent is available to “trade-exposed” sectors.  Trade-intensive industries are defined as those industries in which exports and imports combined are more than 40 per cent of domestic output. In the initial 5-year window, aluminium, iron, glass, ceramics and sugar are among the sectors that </w:t>
      </w:r>
      <w:r>
        <w:rPr>
          <w:sz w:val="22"/>
          <w:szCs w:val="22"/>
          <w:lang w:val="en-GB"/>
        </w:rPr>
        <w:t>might receive up to</w:t>
      </w:r>
      <w:r w:rsidRPr="009B654D">
        <w:rPr>
          <w:sz w:val="22"/>
          <w:szCs w:val="22"/>
          <w:lang w:val="en-GB"/>
        </w:rPr>
        <w:t xml:space="preserve"> 10 per cent </w:t>
      </w:r>
      <w:r>
        <w:rPr>
          <w:sz w:val="22"/>
          <w:szCs w:val="22"/>
          <w:lang w:val="en-GB"/>
        </w:rPr>
        <w:t xml:space="preserve">additional </w:t>
      </w:r>
      <w:r w:rsidRPr="009B654D">
        <w:rPr>
          <w:sz w:val="22"/>
          <w:szCs w:val="22"/>
          <w:lang w:val="en-GB"/>
        </w:rPr>
        <w:t xml:space="preserve">exemption in the initial period.  </w:t>
      </w:r>
    </w:p>
    <w:p w14:paraId="67450DE7" w14:textId="77777777" w:rsidR="000F3BB8" w:rsidRPr="001A77A1" w:rsidRDefault="000F3BB8" w:rsidP="000F3BB8">
      <w:pPr>
        <w:pStyle w:val="ListParagraph"/>
        <w:numPr>
          <w:ilvl w:val="0"/>
          <w:numId w:val="4"/>
        </w:numPr>
        <w:spacing w:line="276" w:lineRule="auto"/>
        <w:jc w:val="both"/>
        <w:rPr>
          <w:sz w:val="22"/>
          <w:szCs w:val="22"/>
          <w:lang w:val="en-GB"/>
        </w:rPr>
      </w:pPr>
      <w:r w:rsidRPr="001A77A1">
        <w:rPr>
          <w:sz w:val="22"/>
          <w:szCs w:val="22"/>
          <w:lang w:val="en-GB"/>
        </w:rPr>
        <w:t xml:space="preserve">Further reductions in tax exposure of either 5 per cent or 10 per cent are possible through carbon offsets, depending on the sector in which a firm operates.  The details of offset arrangements are outlined in a draft offsets paper released for public comment in April 2014 (National Treasury, 2014).  </w:t>
      </w:r>
    </w:p>
    <w:p w14:paraId="5F3357A5" w14:textId="77777777" w:rsidR="000F3BB8" w:rsidRDefault="000F3BB8" w:rsidP="000F3BB8">
      <w:pPr>
        <w:pStyle w:val="ListParagraph"/>
        <w:widowControl w:val="0"/>
        <w:numPr>
          <w:ilvl w:val="0"/>
          <w:numId w:val="4"/>
        </w:numPr>
        <w:autoSpaceDE w:val="0"/>
        <w:autoSpaceDN w:val="0"/>
        <w:adjustRightInd w:val="0"/>
        <w:spacing w:line="276" w:lineRule="auto"/>
        <w:jc w:val="both"/>
        <w:rPr>
          <w:rFonts w:cs="Calibri"/>
          <w:sz w:val="22"/>
          <w:szCs w:val="22"/>
          <w:lang w:val="en-GB"/>
        </w:rPr>
      </w:pPr>
      <w:r w:rsidRPr="009B654D">
        <w:rPr>
          <w:rFonts w:cs="Calibri"/>
          <w:sz w:val="22"/>
          <w:szCs w:val="22"/>
          <w:lang w:val="en-GB"/>
        </w:rPr>
        <w:t>The maximum tax-free threshold (including the offsets and possible adjustments to</w:t>
      </w:r>
      <w:r w:rsidRPr="009B654D">
        <w:rPr>
          <w:rFonts w:cs="Times"/>
          <w:sz w:val="22"/>
          <w:szCs w:val="22"/>
          <w:lang w:val="en-GB"/>
        </w:rPr>
        <w:t xml:space="preserve"> </w:t>
      </w:r>
      <w:r w:rsidRPr="009B654D">
        <w:rPr>
          <w:rFonts w:cs="Calibri"/>
          <w:sz w:val="22"/>
          <w:szCs w:val="22"/>
          <w:lang w:val="en-GB"/>
        </w:rPr>
        <w:t>the basic 60 per cent tax-free threshold for carbon intensity) is limited to 90 per cent, except</w:t>
      </w:r>
      <w:r w:rsidRPr="009B654D">
        <w:rPr>
          <w:rFonts w:cs="Times"/>
          <w:sz w:val="22"/>
          <w:szCs w:val="22"/>
          <w:lang w:val="en-GB"/>
        </w:rPr>
        <w:t xml:space="preserve"> </w:t>
      </w:r>
      <w:r w:rsidRPr="009B654D">
        <w:rPr>
          <w:rFonts w:cs="Calibri"/>
          <w:sz w:val="22"/>
          <w:szCs w:val="22"/>
          <w:lang w:val="en-GB"/>
        </w:rPr>
        <w:t>for those sectors (forestry, agriculture, land-use and waste) that have been completely excluded during the first 5-year period.</w:t>
      </w:r>
    </w:p>
    <w:p w14:paraId="4FB63107" w14:textId="1CFA0089" w:rsidR="002B1F4A" w:rsidRPr="002B1F4A" w:rsidRDefault="000F3BB8" w:rsidP="002B1F4A">
      <w:pPr>
        <w:pStyle w:val="ListParagraph"/>
        <w:numPr>
          <w:ilvl w:val="0"/>
          <w:numId w:val="4"/>
        </w:numPr>
        <w:spacing w:line="276" w:lineRule="auto"/>
        <w:jc w:val="both"/>
      </w:pPr>
      <w:r w:rsidRPr="00B812DB">
        <w:rPr>
          <w:sz w:val="22"/>
          <w:szCs w:val="22"/>
          <w:lang w:val="en-GB"/>
        </w:rPr>
        <w:lastRenderedPageBreak/>
        <w:t xml:space="preserve">Revenue from the proposed tax will be recycled </w:t>
      </w:r>
      <w:r w:rsidRPr="009F54F3">
        <w:rPr>
          <w:i/>
          <w:sz w:val="22"/>
          <w:szCs w:val="22"/>
          <w:lang w:val="en-GB"/>
        </w:rPr>
        <w:t xml:space="preserve">via </w:t>
      </w:r>
      <w:r w:rsidRPr="00B812DB">
        <w:rPr>
          <w:sz w:val="22"/>
          <w:szCs w:val="22"/>
          <w:lang w:val="en-GB"/>
        </w:rPr>
        <w:t xml:space="preserve">the national </w:t>
      </w:r>
      <w:proofErr w:type="spellStart"/>
      <w:r w:rsidRPr="00B812DB">
        <w:rPr>
          <w:sz w:val="22"/>
          <w:szCs w:val="22"/>
          <w:lang w:val="en-GB"/>
        </w:rPr>
        <w:t>fiscus</w:t>
      </w:r>
      <w:proofErr w:type="spellEnd"/>
      <w:r w:rsidRPr="00B812DB">
        <w:rPr>
          <w:sz w:val="22"/>
          <w:szCs w:val="22"/>
          <w:lang w:val="en-GB"/>
        </w:rPr>
        <w:t xml:space="preserve">.  In keeping with the National Treasury’s strategy of retaining fiscal flexibility, the </w:t>
      </w:r>
      <w:r>
        <w:rPr>
          <w:sz w:val="22"/>
          <w:szCs w:val="22"/>
          <w:lang w:val="en-GB"/>
        </w:rPr>
        <w:t xml:space="preserve">carbon tax policy paper </w:t>
      </w:r>
      <w:r w:rsidRPr="00B812DB">
        <w:rPr>
          <w:sz w:val="22"/>
          <w:szCs w:val="22"/>
          <w:lang w:val="en-GB"/>
        </w:rPr>
        <w:t>does not make specific commitments with regards to how the revenue would be recycled</w:t>
      </w:r>
      <w:r>
        <w:rPr>
          <w:sz w:val="22"/>
          <w:szCs w:val="22"/>
          <w:lang w:val="en-GB"/>
        </w:rPr>
        <w:t>, although it lists a number of recycling and tax shifting options</w:t>
      </w:r>
      <w:r w:rsidRPr="00B812DB">
        <w:rPr>
          <w:sz w:val="22"/>
          <w:szCs w:val="22"/>
          <w:lang w:val="en-GB"/>
        </w:rPr>
        <w:t xml:space="preserve">.  It is, however, the intention to use the revenue generated to support the structural transition towards a low carbon economy, to protect poor households from the impact of </w:t>
      </w:r>
      <w:r>
        <w:rPr>
          <w:sz w:val="22"/>
          <w:szCs w:val="22"/>
          <w:lang w:val="en-GB"/>
        </w:rPr>
        <w:t xml:space="preserve">energy </w:t>
      </w:r>
      <w:r w:rsidRPr="00B812DB">
        <w:rPr>
          <w:sz w:val="22"/>
          <w:szCs w:val="22"/>
          <w:lang w:val="en-GB"/>
        </w:rPr>
        <w:t xml:space="preserve">price increases and stimulate the green economy. </w:t>
      </w:r>
      <w:r w:rsidR="00F25972">
        <w:rPr>
          <w:sz w:val="22"/>
          <w:szCs w:val="22"/>
          <w:lang w:val="en-GB"/>
        </w:rPr>
        <w:t xml:space="preserve">It is beyond the scope of this paper to model the effects of the carbon tax on income distribution or poverty. </w:t>
      </w:r>
      <w:r w:rsidRPr="00B812DB">
        <w:rPr>
          <w:sz w:val="22"/>
          <w:szCs w:val="22"/>
          <w:lang w:val="en-GB"/>
        </w:rPr>
        <w:t xml:space="preserve"> </w:t>
      </w:r>
      <w:bookmarkStart w:id="14" w:name="_Toc395272696"/>
    </w:p>
    <w:bookmarkEnd w:id="14"/>
    <w:p w14:paraId="1B83BC73" w14:textId="77777777" w:rsidR="004874BF" w:rsidRDefault="004874BF" w:rsidP="000F3BB8">
      <w:pPr>
        <w:spacing w:after="0"/>
        <w:rPr>
          <w:lang w:val="en-GB"/>
        </w:rPr>
      </w:pPr>
    </w:p>
    <w:p w14:paraId="27E158A0" w14:textId="77777777" w:rsidR="000F3BB8" w:rsidRPr="009B654D" w:rsidRDefault="000F3BB8" w:rsidP="00BC30CC">
      <w:pPr>
        <w:spacing w:after="0" w:line="360" w:lineRule="auto"/>
        <w:rPr>
          <w:lang w:val="en-GB"/>
        </w:rPr>
      </w:pPr>
      <w:r w:rsidRPr="009B654D">
        <w:rPr>
          <w:lang w:val="en-GB"/>
        </w:rPr>
        <w:t>The proposed introduction</w:t>
      </w:r>
      <w:r>
        <w:rPr>
          <w:lang w:val="en-GB"/>
        </w:rPr>
        <w:t xml:space="preserve"> of the carbon tax</w:t>
      </w:r>
      <w:r w:rsidRPr="009B654D">
        <w:rPr>
          <w:lang w:val="en-GB"/>
        </w:rPr>
        <w:t xml:space="preserve"> constitutes a fiscal shock, complete with relative economic “winners and losers”.  Anticipating the different impacts and distributional effects is one of the outcomes of the modelling exercise and crucial to the effective implementation of the carbon tax.  </w:t>
      </w:r>
    </w:p>
    <w:p w14:paraId="0B11CB98" w14:textId="77777777" w:rsidR="00E37FFB" w:rsidRDefault="00E37FFB" w:rsidP="00E37FFB">
      <w:pPr>
        <w:spacing w:after="0"/>
        <w:rPr>
          <w:rFonts w:eastAsia="Calibri" w:cs="Times New Roman"/>
        </w:rPr>
      </w:pPr>
    </w:p>
    <w:p w14:paraId="44BC350D" w14:textId="77777777" w:rsidR="004874BF" w:rsidRPr="009B654D" w:rsidRDefault="004874BF" w:rsidP="004874BF">
      <w:pPr>
        <w:pStyle w:val="Heading4"/>
        <w:rPr>
          <w:rFonts w:eastAsia="Calibri"/>
        </w:rPr>
      </w:pPr>
      <w:r>
        <w:rPr>
          <w:rFonts w:eastAsia="Calibri"/>
        </w:rPr>
        <w:t xml:space="preserve">Design of the </w:t>
      </w:r>
      <w:r w:rsidR="00BC30CC">
        <w:rPr>
          <w:rFonts w:eastAsia="Calibri"/>
        </w:rPr>
        <w:t xml:space="preserve">specific </w:t>
      </w:r>
      <w:r>
        <w:rPr>
          <w:rFonts w:eastAsia="Calibri"/>
        </w:rPr>
        <w:t>tax policy shocks</w:t>
      </w:r>
    </w:p>
    <w:p w14:paraId="034BFB5C" w14:textId="77777777" w:rsidR="00310CBA" w:rsidRDefault="00310CBA" w:rsidP="00BC30CC">
      <w:pPr>
        <w:spacing w:line="360" w:lineRule="auto"/>
        <w:rPr>
          <w:rFonts w:eastAsia="Calibri" w:cs="Times New Roman"/>
        </w:rPr>
      </w:pPr>
      <w:bookmarkStart w:id="15" w:name="_Toc394980243"/>
      <w:bookmarkStart w:id="16" w:name="_Toc395272729"/>
      <w:r>
        <w:rPr>
          <w:rFonts w:eastAsia="Calibri" w:cs="Times New Roman"/>
        </w:rPr>
        <w:t>All policy scenarios</w:t>
      </w:r>
      <w:r w:rsidRPr="005B50F6">
        <w:rPr>
          <w:rFonts w:eastAsia="Calibri" w:cs="Times New Roman"/>
        </w:rPr>
        <w:t xml:space="preserve"> modelled are based on carbon taxes </w:t>
      </w:r>
      <w:r>
        <w:rPr>
          <w:rFonts w:eastAsia="Calibri" w:cs="Times New Roman"/>
        </w:rPr>
        <w:t xml:space="preserve">being imposed on </w:t>
      </w:r>
      <w:r w:rsidRPr="005B50F6">
        <w:rPr>
          <w:rFonts w:eastAsia="Calibri" w:cs="Times New Roman"/>
        </w:rPr>
        <w:t xml:space="preserve">all industries that use </w:t>
      </w:r>
      <w:r>
        <w:rPr>
          <w:rFonts w:eastAsia="Calibri" w:cs="Times New Roman"/>
        </w:rPr>
        <w:t>coal, gas (including both Liquefied Petroleum Gas (LPG) and natural gas) and petroleum i</w:t>
      </w:r>
      <w:r w:rsidRPr="005B50F6">
        <w:rPr>
          <w:rFonts w:eastAsia="Calibri" w:cs="Times New Roman"/>
        </w:rPr>
        <w:t xml:space="preserve">n the production process.    In 2016 the Rand per </w:t>
      </w:r>
      <w:proofErr w:type="spellStart"/>
      <w:r w:rsidRPr="005B50F6">
        <w:rPr>
          <w:rFonts w:eastAsia="Calibri" w:cs="Times New Roman"/>
        </w:rPr>
        <w:t>Terrajoule</w:t>
      </w:r>
      <w:proofErr w:type="spellEnd"/>
      <w:r w:rsidRPr="005B50F6">
        <w:rPr>
          <w:rFonts w:eastAsia="Calibri" w:cs="Times New Roman"/>
        </w:rPr>
        <w:t xml:space="preserve"> (R/TJ) tax rates on the</w:t>
      </w:r>
      <w:r>
        <w:rPr>
          <w:rFonts w:eastAsia="Calibri" w:cs="Times New Roman"/>
        </w:rPr>
        <w:t>se</w:t>
      </w:r>
      <w:r w:rsidRPr="005B50F6">
        <w:rPr>
          <w:rFonts w:eastAsia="Calibri" w:cs="Times New Roman"/>
        </w:rPr>
        <w:t xml:space="preserve"> fuels</w:t>
      </w:r>
      <w:r>
        <w:rPr>
          <w:rFonts w:eastAsia="Calibri" w:cs="Times New Roman"/>
        </w:rPr>
        <w:t xml:space="preserve"> </w:t>
      </w:r>
      <w:r w:rsidRPr="005B50F6">
        <w:rPr>
          <w:rFonts w:eastAsia="Calibri" w:cs="Times New Roman"/>
        </w:rPr>
        <w:t>equivalent to a carbon tax of R120/tCO</w:t>
      </w:r>
      <w:r w:rsidRPr="005B50F6">
        <w:rPr>
          <w:rFonts w:eastAsia="Calibri" w:cs="Times New Roman"/>
          <w:vertAlign w:val="subscript"/>
        </w:rPr>
        <w:t>2</w:t>
      </w:r>
      <w:r w:rsidRPr="005B50F6">
        <w:rPr>
          <w:rFonts w:eastAsia="Calibri" w:cs="Times New Roman"/>
        </w:rPr>
        <w:t>-eq</w:t>
      </w:r>
      <w:r>
        <w:rPr>
          <w:rFonts w:eastAsia="Calibri" w:cs="Times New Roman"/>
        </w:rPr>
        <w:t>ui</w:t>
      </w:r>
      <w:r w:rsidRPr="005B50F6">
        <w:rPr>
          <w:rFonts w:eastAsia="Calibri" w:cs="Times New Roman"/>
        </w:rPr>
        <w:t>v</w:t>
      </w:r>
      <w:r>
        <w:rPr>
          <w:rFonts w:eastAsia="Calibri" w:cs="Times New Roman"/>
        </w:rPr>
        <w:t>. is</w:t>
      </w:r>
      <w:r w:rsidRPr="005B50F6">
        <w:rPr>
          <w:rFonts w:eastAsia="Calibri" w:cs="Times New Roman"/>
        </w:rPr>
        <w:t xml:space="preserve"> R11</w:t>
      </w:r>
      <w:proofErr w:type="gramStart"/>
      <w:r>
        <w:rPr>
          <w:rFonts w:eastAsia="Calibri" w:cs="Times New Roman"/>
        </w:rPr>
        <w:t>,</w:t>
      </w:r>
      <w:r w:rsidRPr="005B50F6">
        <w:rPr>
          <w:rFonts w:eastAsia="Calibri" w:cs="Times New Roman"/>
        </w:rPr>
        <w:t>472</w:t>
      </w:r>
      <w:proofErr w:type="gramEnd"/>
      <w:r w:rsidRPr="005B50F6">
        <w:rPr>
          <w:rFonts w:eastAsia="Calibri" w:cs="Times New Roman"/>
        </w:rPr>
        <w:t>/TJ on coal, R7</w:t>
      </w:r>
      <w:r>
        <w:rPr>
          <w:rFonts w:eastAsia="Calibri" w:cs="Times New Roman"/>
        </w:rPr>
        <w:t>,</w:t>
      </w:r>
      <w:r w:rsidRPr="005B50F6">
        <w:rPr>
          <w:rFonts w:eastAsia="Calibri" w:cs="Times New Roman"/>
        </w:rPr>
        <w:t>647/TJ on gas and R8</w:t>
      </w:r>
      <w:r>
        <w:rPr>
          <w:rFonts w:eastAsia="Calibri" w:cs="Times New Roman"/>
        </w:rPr>
        <w:t>,</w:t>
      </w:r>
      <w:r w:rsidRPr="005B50F6">
        <w:rPr>
          <w:rFonts w:eastAsia="Calibri" w:cs="Times New Roman"/>
        </w:rPr>
        <w:t>707/TJ on petroleum</w:t>
      </w:r>
      <w:r w:rsidRPr="00C45251">
        <w:rPr>
          <w:rFonts w:eastAsia="Calibri" w:cs="Times New Roman"/>
        </w:rPr>
        <w:t>.  These</w:t>
      </w:r>
      <w:r w:rsidRPr="005B50F6">
        <w:rPr>
          <w:rFonts w:eastAsia="Calibri" w:cs="Times New Roman"/>
        </w:rPr>
        <w:t xml:space="preserve"> are the rates that apply before taking into account the various exemptions.</w:t>
      </w:r>
      <w:r>
        <w:rPr>
          <w:rFonts w:eastAsia="Calibri" w:cs="Times New Roman"/>
        </w:rPr>
        <w:t xml:space="preserve"> </w:t>
      </w:r>
    </w:p>
    <w:p w14:paraId="14F69E6A" w14:textId="77777777" w:rsidR="00310CBA" w:rsidRPr="005B50F6" w:rsidRDefault="00310CBA" w:rsidP="00BC30CC">
      <w:pPr>
        <w:spacing w:after="120" w:line="360" w:lineRule="auto"/>
        <w:rPr>
          <w:rFonts w:eastAsia="Calibri" w:cs="Times New Roman"/>
          <w:lang w:eastAsia="zh-CN"/>
        </w:rPr>
      </w:pPr>
      <w:r>
        <w:rPr>
          <w:rFonts w:eastAsia="Calibri" w:cs="Times New Roman"/>
        </w:rPr>
        <w:t xml:space="preserve">We </w:t>
      </w:r>
      <w:r w:rsidR="00AE6D69">
        <w:rPr>
          <w:rFonts w:eastAsia="Calibri" w:cs="Times New Roman"/>
        </w:rPr>
        <w:t xml:space="preserve">firstly </w:t>
      </w:r>
      <w:r>
        <w:rPr>
          <w:rFonts w:eastAsia="Calibri" w:cs="Times New Roman"/>
        </w:rPr>
        <w:t>i</w:t>
      </w:r>
      <w:r w:rsidRPr="005B50F6">
        <w:rPr>
          <w:rFonts w:eastAsia="Calibri" w:cs="Times New Roman"/>
        </w:rPr>
        <w:t>mpos</w:t>
      </w:r>
      <w:r>
        <w:rPr>
          <w:rFonts w:eastAsia="Calibri" w:cs="Times New Roman"/>
        </w:rPr>
        <w:t>e</w:t>
      </w:r>
      <w:r w:rsidRPr="005B50F6">
        <w:rPr>
          <w:rFonts w:eastAsia="Calibri" w:cs="Times New Roman"/>
        </w:rPr>
        <w:t xml:space="preserve"> </w:t>
      </w:r>
      <w:r>
        <w:rPr>
          <w:rFonts w:eastAsia="Calibri" w:cs="Times New Roman"/>
        </w:rPr>
        <w:t>the carbon tax</w:t>
      </w:r>
      <w:r w:rsidRPr="005B50F6">
        <w:rPr>
          <w:rFonts w:eastAsia="Calibri" w:cs="Times New Roman"/>
        </w:rPr>
        <w:t xml:space="preserve"> on </w:t>
      </w:r>
      <w:r>
        <w:rPr>
          <w:rFonts w:eastAsia="Calibri" w:cs="Times New Roman"/>
        </w:rPr>
        <w:t xml:space="preserve">greenhouse gas </w:t>
      </w:r>
      <w:r w:rsidRPr="005B50F6">
        <w:rPr>
          <w:rFonts w:eastAsia="Calibri" w:cs="Times New Roman"/>
        </w:rPr>
        <w:t>emissions</w:t>
      </w:r>
      <w:r>
        <w:rPr>
          <w:rFonts w:eastAsia="Calibri" w:cs="Times New Roman"/>
        </w:rPr>
        <w:t>,</w:t>
      </w:r>
      <w:r w:rsidRPr="005B50F6">
        <w:rPr>
          <w:rFonts w:eastAsia="Calibri" w:cs="Times New Roman"/>
        </w:rPr>
        <w:t xml:space="preserve"> taking</w:t>
      </w:r>
      <w:r>
        <w:rPr>
          <w:rFonts w:eastAsia="Calibri" w:cs="Times New Roman"/>
        </w:rPr>
        <w:t xml:space="preserve"> into account all the suggested </w:t>
      </w:r>
      <w:r w:rsidRPr="005B50F6">
        <w:rPr>
          <w:rFonts w:eastAsia="Calibri" w:cs="Times New Roman"/>
        </w:rPr>
        <w:t xml:space="preserve">exemptions as published </w:t>
      </w:r>
      <w:r>
        <w:rPr>
          <w:rFonts w:eastAsia="Calibri" w:cs="Times New Roman"/>
        </w:rPr>
        <w:t>in the 2013 Carbon Tax Policy Paper</w:t>
      </w:r>
      <w:r w:rsidRPr="005B50F6">
        <w:rPr>
          <w:rFonts w:eastAsia="Calibri" w:cs="Times New Roman"/>
        </w:rPr>
        <w:t xml:space="preserve">.  All the industries pay the R/TJ rates on the fuel inputs as indicated above, but the tax base </w:t>
      </w:r>
      <w:r>
        <w:rPr>
          <w:rFonts w:eastAsia="Calibri" w:cs="Times New Roman"/>
        </w:rPr>
        <w:t>is</w:t>
      </w:r>
      <w:r w:rsidRPr="005B50F6">
        <w:rPr>
          <w:rFonts w:eastAsia="Calibri" w:cs="Times New Roman"/>
        </w:rPr>
        <w:t xml:space="preserve"> reduced by the total percentage tax free thresholds</w:t>
      </w:r>
      <w:r w:rsidR="00AE6D69">
        <w:rPr>
          <w:rFonts w:eastAsia="Calibri" w:cs="Times New Roman"/>
        </w:rPr>
        <w:t xml:space="preserve"> (Scenario T1)</w:t>
      </w:r>
      <w:r w:rsidRPr="005B50F6">
        <w:rPr>
          <w:rFonts w:eastAsia="Calibri" w:cs="Times New Roman"/>
        </w:rPr>
        <w:t xml:space="preserve">.  </w:t>
      </w:r>
      <w:r>
        <w:rPr>
          <w:rFonts w:eastAsia="Calibri" w:cs="Times New Roman"/>
        </w:rPr>
        <w:t xml:space="preserve">The tax free thresholds are </w:t>
      </w:r>
      <w:r w:rsidR="00AE6D69">
        <w:rPr>
          <w:rFonts w:eastAsia="Calibri" w:cs="Times New Roman"/>
        </w:rPr>
        <w:t xml:space="preserve">then </w:t>
      </w:r>
      <w:r>
        <w:rPr>
          <w:rFonts w:eastAsia="Calibri" w:cs="Times New Roman"/>
        </w:rPr>
        <w:t xml:space="preserve">gradually removed by 10 percentage points per annum from 2021 onwards on all industries, until all industries pay the full tax. </w:t>
      </w:r>
      <w:r>
        <w:rPr>
          <w:rFonts w:eastAsia="Calibri" w:cs="Times New Roman"/>
          <w:lang w:eastAsia="zh-CN"/>
        </w:rPr>
        <w:t xml:space="preserve">This implies, for instance, that </w:t>
      </w:r>
      <w:r w:rsidRPr="005B50F6">
        <w:rPr>
          <w:rFonts w:eastAsia="Calibri" w:cs="Times New Roman"/>
          <w:lang w:eastAsia="zh-CN"/>
        </w:rPr>
        <w:t>the petroleum industry’s tax rate would take seven years to reach the full rate</w:t>
      </w:r>
      <w:r>
        <w:rPr>
          <w:rFonts w:eastAsia="Calibri" w:cs="Times New Roman"/>
          <w:lang w:eastAsia="zh-CN"/>
        </w:rPr>
        <w:t xml:space="preserve"> (from 2021)</w:t>
      </w:r>
      <w:r w:rsidRPr="005B50F6">
        <w:rPr>
          <w:rFonts w:eastAsia="Calibri" w:cs="Times New Roman"/>
          <w:lang w:eastAsia="zh-CN"/>
        </w:rPr>
        <w:t xml:space="preserve">, while </w:t>
      </w:r>
      <w:r>
        <w:rPr>
          <w:rFonts w:eastAsia="Calibri" w:cs="Times New Roman"/>
          <w:lang w:eastAsia="zh-CN"/>
        </w:rPr>
        <w:t xml:space="preserve">the </w:t>
      </w:r>
      <w:r w:rsidRPr="005B50F6">
        <w:rPr>
          <w:rFonts w:eastAsia="Calibri" w:cs="Times New Roman"/>
          <w:lang w:eastAsia="zh-CN"/>
        </w:rPr>
        <w:t>cement</w:t>
      </w:r>
      <w:r>
        <w:rPr>
          <w:rFonts w:eastAsia="Calibri" w:cs="Times New Roman"/>
          <w:lang w:eastAsia="zh-CN"/>
        </w:rPr>
        <w:t xml:space="preserve"> industry</w:t>
      </w:r>
      <w:r w:rsidRPr="005B50F6">
        <w:rPr>
          <w:rFonts w:eastAsia="Calibri" w:cs="Times New Roman"/>
          <w:lang w:eastAsia="zh-CN"/>
        </w:rPr>
        <w:t xml:space="preserve"> </w:t>
      </w:r>
      <w:r>
        <w:rPr>
          <w:rFonts w:eastAsia="Calibri" w:cs="Times New Roman"/>
          <w:lang w:eastAsia="zh-CN"/>
        </w:rPr>
        <w:t xml:space="preserve">take </w:t>
      </w:r>
      <w:r w:rsidRPr="005B50F6">
        <w:rPr>
          <w:rFonts w:eastAsia="Calibri" w:cs="Times New Roman"/>
          <w:lang w:eastAsia="zh-CN"/>
        </w:rPr>
        <w:t>eight ye</w:t>
      </w:r>
      <w:r>
        <w:rPr>
          <w:rFonts w:eastAsia="Calibri" w:cs="Times New Roman"/>
          <w:lang w:eastAsia="zh-CN"/>
        </w:rPr>
        <w:t>ars, since they respectively have</w:t>
      </w:r>
      <w:r w:rsidRPr="005B50F6">
        <w:rPr>
          <w:rFonts w:eastAsia="Calibri" w:cs="Times New Roman"/>
          <w:lang w:eastAsia="zh-CN"/>
        </w:rPr>
        <w:t xml:space="preserve"> </w:t>
      </w:r>
      <w:r>
        <w:rPr>
          <w:rFonts w:eastAsia="Calibri" w:cs="Times New Roman"/>
          <w:lang w:eastAsia="zh-CN"/>
        </w:rPr>
        <w:t>a</w:t>
      </w:r>
      <w:r w:rsidRPr="005B50F6">
        <w:rPr>
          <w:rFonts w:eastAsia="Calibri" w:cs="Times New Roman"/>
          <w:lang w:eastAsia="zh-CN"/>
        </w:rPr>
        <w:t xml:space="preserve"> 70 and 80 </w:t>
      </w:r>
      <w:r>
        <w:rPr>
          <w:rFonts w:eastAsia="Calibri" w:cs="Times New Roman"/>
          <w:lang w:eastAsia="zh-CN"/>
        </w:rPr>
        <w:t>per</w:t>
      </w:r>
      <w:r w:rsidR="00832742">
        <w:rPr>
          <w:rFonts w:eastAsia="Calibri" w:cs="Times New Roman"/>
          <w:lang w:eastAsia="zh-CN"/>
        </w:rPr>
        <w:t xml:space="preserve"> </w:t>
      </w:r>
      <w:r>
        <w:rPr>
          <w:rFonts w:eastAsia="Calibri" w:cs="Times New Roman"/>
          <w:lang w:eastAsia="zh-CN"/>
        </w:rPr>
        <w:t>cent</w:t>
      </w:r>
      <w:r w:rsidRPr="005B50F6">
        <w:rPr>
          <w:rFonts w:eastAsia="Calibri" w:cs="Times New Roman"/>
          <w:lang w:eastAsia="zh-CN"/>
        </w:rPr>
        <w:t xml:space="preserve"> exemption initially</w:t>
      </w:r>
      <w:r w:rsidR="00AE6D69">
        <w:rPr>
          <w:rFonts w:eastAsia="Calibri" w:cs="Times New Roman"/>
          <w:lang w:eastAsia="zh-CN"/>
        </w:rPr>
        <w:t xml:space="preserve"> (Scenario T2)</w:t>
      </w:r>
      <w:r w:rsidRPr="005B50F6">
        <w:rPr>
          <w:rFonts w:eastAsia="Calibri" w:cs="Times New Roman"/>
          <w:lang w:eastAsia="zh-CN"/>
        </w:rPr>
        <w:t xml:space="preserve">. </w:t>
      </w:r>
    </w:p>
    <w:p w14:paraId="5427FF82" w14:textId="77777777" w:rsidR="00310CBA" w:rsidRDefault="00310CBA" w:rsidP="00BC30CC">
      <w:pPr>
        <w:spacing w:after="120" w:line="360" w:lineRule="auto"/>
        <w:rPr>
          <w:rFonts w:eastAsia="Calibri" w:cs="Times New Roman"/>
        </w:rPr>
      </w:pPr>
      <w:r w:rsidRPr="005B50F6">
        <w:rPr>
          <w:rFonts w:eastAsia="Calibri" w:cs="Times New Roman"/>
        </w:rPr>
        <w:t>For the first five years from 2016</w:t>
      </w:r>
      <w:r>
        <w:rPr>
          <w:rFonts w:eastAsia="Calibri" w:cs="Times New Roman"/>
        </w:rPr>
        <w:t>,</w:t>
      </w:r>
      <w:r w:rsidRPr="005B50F6">
        <w:rPr>
          <w:rFonts w:eastAsia="Calibri" w:cs="Times New Roman"/>
        </w:rPr>
        <w:t xml:space="preserve"> the tax rates are increased by 10 </w:t>
      </w:r>
      <w:r>
        <w:rPr>
          <w:rFonts w:eastAsia="Calibri" w:cs="Times New Roman"/>
        </w:rPr>
        <w:t>percent</w:t>
      </w:r>
      <w:r w:rsidRPr="005B50F6">
        <w:rPr>
          <w:rFonts w:eastAsia="Calibri" w:cs="Times New Roman"/>
        </w:rPr>
        <w:t xml:space="preserve"> per annum (as per the </w:t>
      </w:r>
      <w:r>
        <w:rPr>
          <w:rFonts w:eastAsia="Calibri" w:cs="Times New Roman"/>
        </w:rPr>
        <w:t>2013</w:t>
      </w:r>
      <w:r w:rsidRPr="005B50F6">
        <w:rPr>
          <w:rFonts w:eastAsia="Calibri" w:cs="Times New Roman"/>
        </w:rPr>
        <w:t xml:space="preserve"> Carbon Tax Policy Paper), and thereafter by the assumed inflation rate, which is 5.5 </w:t>
      </w:r>
      <w:r>
        <w:rPr>
          <w:rFonts w:eastAsia="Calibri" w:cs="Times New Roman"/>
        </w:rPr>
        <w:t>percent</w:t>
      </w:r>
      <w:r w:rsidRPr="005B50F6">
        <w:rPr>
          <w:rFonts w:eastAsia="Calibri" w:cs="Times New Roman"/>
        </w:rPr>
        <w:t xml:space="preserve"> per annum over the forecast period</w:t>
      </w:r>
      <w:r w:rsidR="00AE6D69">
        <w:rPr>
          <w:rFonts w:eastAsia="Calibri" w:cs="Times New Roman"/>
        </w:rPr>
        <w:t>, in both scenarios T1 and T2</w:t>
      </w:r>
      <w:r w:rsidRPr="005B50F6">
        <w:rPr>
          <w:rFonts w:eastAsia="Calibri" w:cs="Times New Roman"/>
        </w:rPr>
        <w:t xml:space="preserve">. </w:t>
      </w:r>
    </w:p>
    <w:p w14:paraId="1D81F525" w14:textId="77777777" w:rsidR="00310CBA" w:rsidRDefault="00310CBA" w:rsidP="00310CBA">
      <w:pPr>
        <w:spacing w:after="120"/>
        <w:rPr>
          <w:rFonts w:eastAsia="Calibri" w:cs="Times New Roman"/>
        </w:rPr>
      </w:pPr>
    </w:p>
    <w:p w14:paraId="1DA65AE5" w14:textId="77777777" w:rsidR="00E37FFB" w:rsidRPr="009B654D" w:rsidRDefault="00E37FFB" w:rsidP="004874BF">
      <w:pPr>
        <w:pStyle w:val="Heading3"/>
        <w:rPr>
          <w:rFonts w:eastAsia="Times New Roman"/>
        </w:rPr>
      </w:pPr>
      <w:r w:rsidRPr="009B654D">
        <w:rPr>
          <w:rFonts w:eastAsia="Times New Roman"/>
        </w:rPr>
        <w:t>Comparing the effects of the different tax policy shocks</w:t>
      </w:r>
      <w:bookmarkEnd w:id="15"/>
      <w:bookmarkEnd w:id="16"/>
    </w:p>
    <w:p w14:paraId="11F9BD7D" w14:textId="77777777" w:rsidR="00E37FFB" w:rsidRPr="009B654D" w:rsidRDefault="00E37FFB" w:rsidP="00E37FFB">
      <w:pPr>
        <w:pStyle w:val="Heading4"/>
        <w:rPr>
          <w:rFonts w:eastAsia="Calibri"/>
        </w:rPr>
      </w:pPr>
      <w:r w:rsidRPr="009B654D">
        <w:rPr>
          <w:rFonts w:eastAsia="Calibri"/>
        </w:rPr>
        <w:t>Impact on CO</w:t>
      </w:r>
      <w:r w:rsidRPr="009B654D">
        <w:rPr>
          <w:rFonts w:eastAsia="Calibri"/>
          <w:vertAlign w:val="subscript"/>
        </w:rPr>
        <w:t>2</w:t>
      </w:r>
      <w:r w:rsidRPr="009B654D">
        <w:rPr>
          <w:rFonts w:eastAsia="Calibri"/>
        </w:rPr>
        <w:t xml:space="preserve"> (without recycling)</w:t>
      </w:r>
    </w:p>
    <w:p w14:paraId="34E72406" w14:textId="77777777" w:rsidR="00E37FFB" w:rsidRPr="009B654D" w:rsidRDefault="00BC30CC" w:rsidP="00BC30CC">
      <w:pPr>
        <w:spacing w:after="0" w:line="360" w:lineRule="auto"/>
        <w:rPr>
          <w:rFonts w:eastAsia="Calibri" w:cs="Times New Roman"/>
        </w:rPr>
      </w:pPr>
      <w:r>
        <w:rPr>
          <w:rFonts w:eastAsia="Calibri" w:cs="Times New Roman"/>
        </w:rPr>
        <w:t>W</w:t>
      </w:r>
      <w:r w:rsidR="00E37FFB" w:rsidRPr="009B654D">
        <w:rPr>
          <w:rFonts w:eastAsia="Calibri" w:cs="Times New Roman"/>
        </w:rPr>
        <w:t xml:space="preserve">e compare the </w:t>
      </w:r>
      <w:r w:rsidR="00AE6D69">
        <w:rPr>
          <w:rFonts w:eastAsia="Calibri" w:cs="Times New Roman"/>
        </w:rPr>
        <w:t>two</w:t>
      </w:r>
      <w:r w:rsidR="00E37FFB" w:rsidRPr="009B654D">
        <w:rPr>
          <w:rFonts w:eastAsia="Calibri" w:cs="Times New Roman"/>
        </w:rPr>
        <w:t xml:space="preserve"> sets of tax policy shocks with the baseline forecast by showing the deviations from the baseline in the growth of total CO</w:t>
      </w:r>
      <w:r w:rsidR="00E37FFB" w:rsidRPr="009B654D">
        <w:rPr>
          <w:rFonts w:eastAsia="Calibri" w:cs="Times New Roman"/>
          <w:vertAlign w:val="subscript"/>
        </w:rPr>
        <w:t>2</w:t>
      </w:r>
      <w:r w:rsidR="00E37FFB" w:rsidRPr="009B654D">
        <w:rPr>
          <w:rFonts w:eastAsia="Calibri" w:cs="Times New Roman"/>
        </w:rPr>
        <w:t xml:space="preserve"> emissions.  It is expected that the first tax scenario </w:t>
      </w:r>
      <w:r w:rsidR="00E37FFB" w:rsidRPr="00BC30CC">
        <w:rPr>
          <w:rFonts w:eastAsia="Calibri" w:cs="Times New Roman"/>
        </w:rPr>
        <w:t xml:space="preserve">with the </w:t>
      </w:r>
      <w:r w:rsidR="00E37FFB" w:rsidRPr="00BC30CC">
        <w:rPr>
          <w:rFonts w:eastAsia="Calibri" w:cs="Times New Roman"/>
        </w:rPr>
        <w:lastRenderedPageBreak/>
        <w:t xml:space="preserve">generous exemptions of Table </w:t>
      </w:r>
      <w:r>
        <w:rPr>
          <w:rFonts w:eastAsia="Calibri" w:cs="Times New Roman"/>
        </w:rPr>
        <w:t>4</w:t>
      </w:r>
      <w:r w:rsidR="00E37FFB" w:rsidRPr="00BC30CC">
        <w:rPr>
          <w:rFonts w:eastAsia="Calibri" w:cs="Times New Roman"/>
        </w:rPr>
        <w:t xml:space="preserve"> would have the smallest effects on curbing emissions, while the</w:t>
      </w:r>
      <w:r w:rsidR="00E37FFB" w:rsidRPr="009B654D">
        <w:rPr>
          <w:rFonts w:eastAsia="Calibri" w:cs="Times New Roman"/>
        </w:rPr>
        <w:t xml:space="preserve"> </w:t>
      </w:r>
      <w:r w:rsidR="00AE6D69">
        <w:rPr>
          <w:rFonts w:eastAsia="Calibri" w:cs="Times New Roman"/>
        </w:rPr>
        <w:t>second</w:t>
      </w:r>
      <w:r w:rsidR="00E37FFB" w:rsidRPr="009B654D">
        <w:rPr>
          <w:rFonts w:eastAsia="Calibri" w:cs="Times New Roman"/>
        </w:rPr>
        <w:t xml:space="preserve"> scenario where all the exemptions are </w:t>
      </w:r>
      <w:r w:rsidR="00AE6D69">
        <w:rPr>
          <w:rFonts w:eastAsia="Calibri" w:cs="Times New Roman"/>
        </w:rPr>
        <w:t xml:space="preserve">gradually </w:t>
      </w:r>
      <w:r w:rsidR="00E37FFB" w:rsidRPr="009B654D">
        <w:rPr>
          <w:rFonts w:eastAsia="Calibri" w:cs="Times New Roman"/>
        </w:rPr>
        <w:t xml:space="preserve">phased out would have the biggest impact on emissions. </w:t>
      </w:r>
    </w:p>
    <w:p w14:paraId="225DDC30" w14:textId="77777777" w:rsidR="00E37FFB" w:rsidRPr="009B654D" w:rsidRDefault="00E37FFB" w:rsidP="00BC30CC">
      <w:pPr>
        <w:spacing w:after="0" w:line="360" w:lineRule="auto"/>
        <w:rPr>
          <w:rFonts w:eastAsia="Calibri" w:cs="Times New Roman"/>
        </w:rPr>
      </w:pPr>
    </w:p>
    <w:p w14:paraId="05D4E765" w14:textId="05173DBB" w:rsidR="00E37FFB" w:rsidRPr="009B654D" w:rsidRDefault="00E37FFB" w:rsidP="00BC30CC">
      <w:pPr>
        <w:spacing w:after="0" w:line="360" w:lineRule="auto"/>
        <w:rPr>
          <w:rFonts w:eastAsia="Calibri" w:cs="Times New Roman"/>
        </w:rPr>
      </w:pPr>
      <w:r w:rsidRPr="00127098">
        <w:rPr>
          <w:rFonts w:eastAsia="Calibri" w:cs="Times New Roman"/>
        </w:rPr>
        <w:t xml:space="preserve">In Figure </w:t>
      </w:r>
      <w:r w:rsidR="00BC30CC">
        <w:rPr>
          <w:rFonts w:eastAsia="Calibri" w:cs="Times New Roman"/>
        </w:rPr>
        <w:t>3</w:t>
      </w:r>
      <w:r w:rsidRPr="00127098">
        <w:rPr>
          <w:rFonts w:eastAsia="Calibri" w:cs="Times New Roman"/>
        </w:rPr>
        <w:t xml:space="preserve"> we see exactly these anticipated results: the first set of exemptions has the </w:t>
      </w:r>
      <w:r w:rsidR="00BD140C">
        <w:rPr>
          <w:rFonts w:eastAsia="Calibri" w:cs="Times New Roman"/>
        </w:rPr>
        <w:t>smallest</w:t>
      </w:r>
      <w:r w:rsidRPr="00127098">
        <w:rPr>
          <w:rFonts w:eastAsia="Calibri" w:cs="Times New Roman"/>
        </w:rPr>
        <w:t xml:space="preserve"> effect</w:t>
      </w:r>
      <w:r w:rsidRPr="009B654D">
        <w:rPr>
          <w:rFonts w:eastAsia="Calibri" w:cs="Times New Roman"/>
        </w:rPr>
        <w:t xml:space="preserve"> on emissions</w:t>
      </w:r>
      <w:r w:rsidR="00BD140C">
        <w:rPr>
          <w:rFonts w:eastAsia="Calibri" w:cs="Times New Roman"/>
        </w:rPr>
        <w:t>,</w:t>
      </w:r>
      <w:r w:rsidRPr="009B654D">
        <w:rPr>
          <w:rFonts w:eastAsia="Calibri" w:cs="Times New Roman"/>
        </w:rPr>
        <w:t xml:space="preserve"> while removing all the exemptions has a significant effect: it reduces the increase of emissions by almost 50 per cent.  From these results it can be anticipated that the results of imposing the “carbon taxes” (without considering recycling) are likely to </w:t>
      </w:r>
      <w:r>
        <w:rPr>
          <w:rFonts w:eastAsia="Calibri" w:cs="Times New Roman"/>
        </w:rPr>
        <w:t>reduce CO</w:t>
      </w:r>
      <w:r w:rsidRPr="00E26891">
        <w:rPr>
          <w:rFonts w:eastAsia="Calibri" w:cs="Times New Roman"/>
          <w:vertAlign w:val="subscript"/>
        </w:rPr>
        <w:t>2</w:t>
      </w:r>
      <w:r>
        <w:rPr>
          <w:rFonts w:eastAsia="Calibri" w:cs="Times New Roman"/>
        </w:rPr>
        <w:t xml:space="preserve"> emissions </w:t>
      </w:r>
      <w:r w:rsidRPr="009B654D">
        <w:rPr>
          <w:rFonts w:eastAsia="Calibri" w:cs="Times New Roman"/>
        </w:rPr>
        <w:t xml:space="preserve">between </w:t>
      </w:r>
      <w:r w:rsidR="00BD140C">
        <w:rPr>
          <w:rFonts w:eastAsia="Calibri" w:cs="Times New Roman"/>
        </w:rPr>
        <w:t>38.3</w:t>
      </w:r>
      <w:r w:rsidRPr="009B654D">
        <w:rPr>
          <w:rFonts w:eastAsia="Calibri" w:cs="Times New Roman"/>
        </w:rPr>
        <w:t xml:space="preserve"> per cent </w:t>
      </w:r>
      <w:r w:rsidR="00BD140C">
        <w:rPr>
          <w:rFonts w:eastAsia="Calibri" w:cs="Times New Roman"/>
        </w:rPr>
        <w:t>if all exemptions are in place,</w:t>
      </w:r>
      <w:r w:rsidRPr="009B654D">
        <w:rPr>
          <w:rFonts w:eastAsia="Calibri" w:cs="Times New Roman"/>
        </w:rPr>
        <w:t xml:space="preserve"> and 50 per cent by the end of the forecast period</w:t>
      </w:r>
      <w:r w:rsidR="00BD140C">
        <w:rPr>
          <w:rFonts w:eastAsia="Calibri" w:cs="Times New Roman"/>
        </w:rPr>
        <w:t xml:space="preserve"> if all exemptions are gradually phased out</w:t>
      </w:r>
      <w:r w:rsidRPr="009B654D">
        <w:rPr>
          <w:rFonts w:eastAsia="Calibri" w:cs="Times New Roman"/>
        </w:rPr>
        <w:t xml:space="preserve">. </w:t>
      </w:r>
    </w:p>
    <w:p w14:paraId="53BDCBE2" w14:textId="77777777" w:rsidR="00E37FFB" w:rsidRPr="009B654D" w:rsidRDefault="00E37FFB" w:rsidP="00E37FFB">
      <w:pPr>
        <w:spacing w:after="0"/>
        <w:rPr>
          <w:rFonts w:eastAsia="Calibri" w:cs="Times New Roman"/>
          <w:b/>
          <w:bCs/>
        </w:rPr>
      </w:pPr>
      <w:bookmarkStart w:id="17" w:name="_Ref394407060"/>
      <w:bookmarkStart w:id="18" w:name="_Toc394850374"/>
    </w:p>
    <w:p w14:paraId="33436DCD" w14:textId="77777777" w:rsidR="00E37FFB" w:rsidRPr="009B654D" w:rsidRDefault="00E37FFB" w:rsidP="00E37FFB">
      <w:pPr>
        <w:spacing w:after="0"/>
        <w:ind w:left="1134" w:hanging="1134"/>
        <w:rPr>
          <w:rFonts w:eastAsia="Calibri" w:cs="Times New Roman"/>
          <w:b/>
          <w:bCs/>
        </w:rPr>
      </w:pPr>
      <w:r w:rsidRPr="009B654D">
        <w:rPr>
          <w:rFonts w:eastAsia="Calibri" w:cs="Times New Roman"/>
          <w:b/>
          <w:bCs/>
        </w:rPr>
        <w:t xml:space="preserve">Figure </w:t>
      </w:r>
      <w:bookmarkEnd w:id="17"/>
      <w:r w:rsidR="00BC30CC">
        <w:rPr>
          <w:rFonts w:eastAsia="Calibri" w:cs="Times New Roman"/>
          <w:b/>
          <w:bCs/>
        </w:rPr>
        <w:t>3</w:t>
      </w:r>
      <w:r w:rsidRPr="009B654D">
        <w:rPr>
          <w:rFonts w:eastAsia="Calibri" w:cs="Times New Roman"/>
          <w:b/>
          <w:bCs/>
        </w:rPr>
        <w:t>:</w:t>
      </w:r>
      <w:r w:rsidRPr="009B654D">
        <w:rPr>
          <w:rFonts w:eastAsia="Calibri" w:cs="Times New Roman"/>
          <w:b/>
          <w:bCs/>
        </w:rPr>
        <w:tab/>
        <w:t>Cumulative percentage change in CO</w:t>
      </w:r>
      <w:r w:rsidRPr="009B654D">
        <w:rPr>
          <w:rFonts w:eastAsia="Calibri" w:cs="Times New Roman"/>
          <w:b/>
          <w:bCs/>
          <w:vertAlign w:val="subscript"/>
        </w:rPr>
        <w:t>2</w:t>
      </w:r>
      <w:r w:rsidRPr="009B654D">
        <w:rPr>
          <w:rFonts w:eastAsia="Calibri" w:cs="Times New Roman"/>
          <w:b/>
          <w:bCs/>
        </w:rPr>
        <w:t xml:space="preserve"> emissions as a result of taxes on fuel inputs (deviation from baseline)</w:t>
      </w:r>
      <w:bookmarkEnd w:id="18"/>
    </w:p>
    <w:p w14:paraId="3CD81D00" w14:textId="77777777" w:rsidR="00E37FFB" w:rsidRPr="009B654D" w:rsidRDefault="00AE6D69" w:rsidP="00E37FFB">
      <w:pPr>
        <w:spacing w:after="0"/>
        <w:rPr>
          <w:rFonts w:eastAsia="Calibri" w:cs="Times New Roman"/>
        </w:rPr>
      </w:pPr>
      <w:r>
        <w:rPr>
          <w:noProof/>
          <w:lang w:eastAsia="en-ZA"/>
        </w:rPr>
        <w:drawing>
          <wp:inline distT="0" distB="0" distL="0" distR="0" wp14:anchorId="08FA32C0" wp14:editId="0179B55D">
            <wp:extent cx="5041900" cy="2133600"/>
            <wp:effectExtent l="0" t="0" r="2540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DD666F" w14:textId="77777777" w:rsidR="00AE6D69" w:rsidRDefault="00AE6D69" w:rsidP="00E37FFB">
      <w:pPr>
        <w:pStyle w:val="Heading4"/>
        <w:rPr>
          <w:rFonts w:eastAsia="Calibri"/>
        </w:rPr>
      </w:pPr>
      <w:bookmarkStart w:id="19" w:name="_Ref394408296"/>
    </w:p>
    <w:p w14:paraId="4DAF9D92" w14:textId="77777777" w:rsidR="00E37FFB" w:rsidRPr="009B654D" w:rsidRDefault="00E37FFB" w:rsidP="00E37FFB">
      <w:pPr>
        <w:pStyle w:val="Heading4"/>
        <w:rPr>
          <w:rFonts w:eastAsia="Calibri"/>
        </w:rPr>
      </w:pPr>
      <w:r w:rsidRPr="009B654D">
        <w:rPr>
          <w:rFonts w:eastAsia="Calibri"/>
        </w:rPr>
        <w:t>Impact on GDP (without recycling)</w:t>
      </w:r>
    </w:p>
    <w:p w14:paraId="653CBD6F" w14:textId="5A414A06" w:rsidR="00E37FFB" w:rsidRPr="009B654D" w:rsidRDefault="00E37FFB" w:rsidP="00E37FFB">
      <w:pPr>
        <w:spacing w:after="0"/>
        <w:rPr>
          <w:rFonts w:eastAsia="Calibri" w:cs="Times New Roman"/>
        </w:rPr>
      </w:pPr>
      <w:r w:rsidRPr="009B654D">
        <w:rPr>
          <w:rFonts w:eastAsia="Calibri" w:cs="Times New Roman"/>
        </w:rPr>
        <w:t xml:space="preserve">In Figure </w:t>
      </w:r>
      <w:r w:rsidR="00BC30CC">
        <w:rPr>
          <w:rFonts w:eastAsia="Calibri" w:cs="Times New Roman"/>
        </w:rPr>
        <w:t>4</w:t>
      </w:r>
      <w:r w:rsidRPr="009B654D">
        <w:rPr>
          <w:rFonts w:eastAsia="Calibri" w:cs="Times New Roman"/>
        </w:rPr>
        <w:t xml:space="preserve"> the </w:t>
      </w:r>
      <w:r w:rsidR="00A72FF5">
        <w:rPr>
          <w:rFonts w:eastAsia="Calibri" w:cs="Times New Roman"/>
        </w:rPr>
        <w:t>blue</w:t>
      </w:r>
      <w:r w:rsidRPr="009B654D">
        <w:rPr>
          <w:rFonts w:eastAsia="Calibri" w:cs="Times New Roman"/>
        </w:rPr>
        <w:t xml:space="preserve"> line shows that with the implementation of the carbon tax, but with the 60-100% exemptions on the various industries over the forecast period, total real GDP will decrease by </w:t>
      </w:r>
      <w:r w:rsidR="00127098">
        <w:rPr>
          <w:rFonts w:eastAsia="Calibri" w:cs="Times New Roman"/>
        </w:rPr>
        <w:t>6.4</w:t>
      </w:r>
      <w:r w:rsidRPr="009B654D">
        <w:rPr>
          <w:rFonts w:eastAsia="Calibri" w:cs="Times New Roman"/>
        </w:rPr>
        <w:t xml:space="preserve"> per cent, relative to the baseline, by 2035.  When the exemptions on all industries are phased out from 2022</w:t>
      </w:r>
      <w:r w:rsidR="00A72FF5">
        <w:rPr>
          <w:rFonts w:eastAsia="Calibri" w:cs="Times New Roman"/>
        </w:rPr>
        <w:t xml:space="preserve"> (purple line)</w:t>
      </w:r>
      <w:r w:rsidRPr="009B654D">
        <w:rPr>
          <w:rFonts w:eastAsia="Calibri" w:cs="Times New Roman"/>
        </w:rPr>
        <w:t xml:space="preserve">, then the total real GDP will decrease by </w:t>
      </w:r>
      <w:r w:rsidR="00127098">
        <w:rPr>
          <w:rFonts w:eastAsia="Calibri" w:cs="Times New Roman"/>
        </w:rPr>
        <w:t>13.7</w:t>
      </w:r>
      <w:r w:rsidRPr="009B654D">
        <w:rPr>
          <w:rFonts w:eastAsia="Calibri" w:cs="Times New Roman"/>
        </w:rPr>
        <w:t xml:space="preserve"> per cent over the forecast period, relative to the baseline. </w:t>
      </w:r>
    </w:p>
    <w:p w14:paraId="663C2B88" w14:textId="77777777" w:rsidR="00E37FFB" w:rsidRPr="009B654D" w:rsidRDefault="00E37FFB" w:rsidP="00E37FFB">
      <w:pPr>
        <w:spacing w:after="0"/>
        <w:rPr>
          <w:rFonts w:eastAsia="Calibri" w:cs="Times New Roman"/>
        </w:rPr>
      </w:pPr>
    </w:p>
    <w:p w14:paraId="7D65F18C" w14:textId="77777777" w:rsidR="00335874" w:rsidRDefault="00335874">
      <w:pPr>
        <w:jc w:val="left"/>
        <w:rPr>
          <w:rFonts w:eastAsia="Calibri" w:cs="Times New Roman"/>
          <w:b/>
          <w:bCs/>
        </w:rPr>
      </w:pPr>
      <w:bookmarkStart w:id="20" w:name="_Ref394600127"/>
      <w:bookmarkStart w:id="21" w:name="_Toc394850376"/>
      <w:r>
        <w:rPr>
          <w:rFonts w:eastAsia="Calibri" w:cs="Times New Roman"/>
          <w:b/>
          <w:bCs/>
        </w:rPr>
        <w:br w:type="page"/>
      </w:r>
    </w:p>
    <w:p w14:paraId="2D5EE2F0" w14:textId="17359370" w:rsidR="00E37FFB" w:rsidRPr="009B654D" w:rsidRDefault="00E37FFB" w:rsidP="00E37FFB">
      <w:pPr>
        <w:spacing w:after="0"/>
        <w:ind w:left="1134" w:hanging="1134"/>
        <w:rPr>
          <w:rFonts w:eastAsia="Calibri" w:cs="Times New Roman"/>
          <w:b/>
          <w:bCs/>
        </w:rPr>
      </w:pPr>
      <w:r w:rsidRPr="009B654D">
        <w:rPr>
          <w:rFonts w:eastAsia="Calibri" w:cs="Times New Roman"/>
          <w:b/>
          <w:bCs/>
        </w:rPr>
        <w:lastRenderedPageBreak/>
        <w:t xml:space="preserve">Figure </w:t>
      </w:r>
      <w:bookmarkEnd w:id="20"/>
      <w:r w:rsidR="00BC30CC">
        <w:rPr>
          <w:rFonts w:eastAsia="Calibri" w:cs="Times New Roman"/>
          <w:b/>
          <w:bCs/>
        </w:rPr>
        <w:t>4</w:t>
      </w:r>
      <w:r w:rsidRPr="009B654D">
        <w:rPr>
          <w:rFonts w:eastAsia="Calibri" w:cs="Times New Roman"/>
          <w:b/>
          <w:bCs/>
        </w:rPr>
        <w:t>:</w:t>
      </w:r>
      <w:r w:rsidRPr="009B654D">
        <w:rPr>
          <w:rFonts w:eastAsia="Calibri" w:cs="Times New Roman"/>
          <w:b/>
          <w:bCs/>
        </w:rPr>
        <w:tab/>
        <w:t>Cumulative percentage change in real GDP as a result of taxes on fuel inputs (deviation from baseline)</w:t>
      </w:r>
      <w:bookmarkEnd w:id="19"/>
      <w:bookmarkEnd w:id="21"/>
    </w:p>
    <w:p w14:paraId="2C34E58F" w14:textId="77777777" w:rsidR="00E37FFB" w:rsidRPr="009B654D" w:rsidRDefault="00AE6D69" w:rsidP="00E37FFB">
      <w:pPr>
        <w:spacing w:after="0"/>
        <w:rPr>
          <w:rFonts w:eastAsia="Calibri" w:cs="Times New Roman"/>
        </w:rPr>
      </w:pPr>
      <w:r>
        <w:rPr>
          <w:noProof/>
          <w:lang w:eastAsia="en-ZA"/>
        </w:rPr>
        <w:drawing>
          <wp:inline distT="0" distB="0" distL="0" distR="0" wp14:anchorId="352F5A72" wp14:editId="74ADA0F4">
            <wp:extent cx="5029200" cy="2222500"/>
            <wp:effectExtent l="0" t="0" r="1905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5766A9" w14:textId="77777777" w:rsidR="00127098" w:rsidRDefault="00127098" w:rsidP="00E37FFB">
      <w:pPr>
        <w:pStyle w:val="Heading4"/>
        <w:rPr>
          <w:rFonts w:eastAsia="Calibri"/>
        </w:rPr>
      </w:pPr>
    </w:p>
    <w:p w14:paraId="280A0E5A" w14:textId="77777777" w:rsidR="00E37FFB" w:rsidRPr="009B654D" w:rsidRDefault="00E37FFB" w:rsidP="00E37FFB">
      <w:pPr>
        <w:pStyle w:val="Heading4"/>
        <w:rPr>
          <w:rFonts w:eastAsia="Calibri"/>
        </w:rPr>
      </w:pPr>
      <w:r w:rsidRPr="009B654D">
        <w:rPr>
          <w:rFonts w:eastAsia="Calibri"/>
        </w:rPr>
        <w:t>Sectoral impact (without recycling)</w:t>
      </w:r>
    </w:p>
    <w:p w14:paraId="24D56BF0" w14:textId="77777777" w:rsidR="00E37FFB" w:rsidRPr="009B654D" w:rsidRDefault="00E37FFB" w:rsidP="00E37FFB">
      <w:pPr>
        <w:spacing w:after="0"/>
        <w:rPr>
          <w:rFonts w:eastAsia="Calibri" w:cs="Times New Roman"/>
        </w:rPr>
      </w:pPr>
      <w:r w:rsidRPr="009B654D">
        <w:rPr>
          <w:rFonts w:eastAsia="Calibri" w:cs="Times New Roman"/>
        </w:rPr>
        <w:t>In this section we compare the industry effects of the tax scenario where all the exemptions are phased out on all industries.  In Figure 5 we show the respective sectoral impact</w:t>
      </w:r>
      <w:r>
        <w:rPr>
          <w:rFonts w:eastAsia="Calibri" w:cs="Times New Roman"/>
        </w:rPr>
        <w:t>s</w:t>
      </w:r>
      <w:r w:rsidRPr="009B654D">
        <w:rPr>
          <w:rFonts w:eastAsia="Calibri" w:cs="Times New Roman"/>
        </w:rPr>
        <w:t xml:space="preserve"> of the fuel input tax and discuss some of the results.</w:t>
      </w:r>
    </w:p>
    <w:p w14:paraId="2A9A967A" w14:textId="77777777" w:rsidR="00E37FFB" w:rsidRPr="009B654D" w:rsidRDefault="00E37FFB" w:rsidP="00E37FFB">
      <w:pPr>
        <w:spacing w:after="0"/>
        <w:rPr>
          <w:rFonts w:eastAsia="Calibri" w:cs="Times New Roman"/>
        </w:rPr>
      </w:pPr>
    </w:p>
    <w:p w14:paraId="078B9A52" w14:textId="77777777" w:rsidR="00E37FFB" w:rsidRDefault="00E37FFB" w:rsidP="00E37FFB">
      <w:pPr>
        <w:spacing w:after="0"/>
        <w:rPr>
          <w:rFonts w:eastAsia="Calibri" w:cs="Times New Roman"/>
        </w:rPr>
      </w:pPr>
      <w:r w:rsidRPr="009B654D">
        <w:rPr>
          <w:rFonts w:eastAsia="Calibri" w:cs="Times New Roman"/>
        </w:rPr>
        <w:t xml:space="preserve">The biggest impact on production among the industries is on </w:t>
      </w:r>
      <w:proofErr w:type="spellStart"/>
      <w:r w:rsidRPr="009B654D">
        <w:rPr>
          <w:rFonts w:eastAsia="Calibri" w:cs="Times New Roman"/>
        </w:rPr>
        <w:t>CoalGen</w:t>
      </w:r>
      <w:proofErr w:type="spellEnd"/>
      <w:r w:rsidRPr="009B654D">
        <w:rPr>
          <w:rFonts w:eastAsia="Calibri" w:cs="Times New Roman"/>
        </w:rPr>
        <w:t xml:space="preserve">, the industry that produces electricity from coal.  This is to be expected because coal forms almost 70 per cent of the industry’s intermediate input costs and coal is taxed as one of the four fuel inputs.  The next four sectors that are detrimentally impacted on are Petroleum Refineries, Coke Oven, Other Manufacturing and Iron and Steel.  The first two are also quite easy to explain because they use large amounts of coal and crude gas as inputs into their production processes – Petroleum Refineries use 15.5% coal and 18.4% crude gas as intermediate inputs, and Coke Oven uses 28.7% coal and 14.1% crude gas.  The reason why Iron and Steel and Other Manufacturing are amongst the biggest losers </w:t>
      </w:r>
      <w:r>
        <w:rPr>
          <w:rFonts w:eastAsia="Calibri" w:cs="Times New Roman"/>
        </w:rPr>
        <w:t>can</w:t>
      </w:r>
      <w:r w:rsidRPr="009B654D">
        <w:rPr>
          <w:rFonts w:eastAsia="Calibri" w:cs="Times New Roman"/>
        </w:rPr>
        <w:t xml:space="preserve"> be found in Figure </w:t>
      </w:r>
      <w:r w:rsidR="00BC30CC">
        <w:rPr>
          <w:rFonts w:eastAsia="Calibri" w:cs="Times New Roman"/>
        </w:rPr>
        <w:t>6</w:t>
      </w:r>
      <w:r w:rsidRPr="009B654D">
        <w:rPr>
          <w:rFonts w:eastAsia="Calibri" w:cs="Times New Roman"/>
        </w:rPr>
        <w:t xml:space="preserve">. The </w:t>
      </w:r>
      <w:r>
        <w:rPr>
          <w:rFonts w:eastAsia="Calibri" w:cs="Times New Roman"/>
        </w:rPr>
        <w:t xml:space="preserve">carbon </w:t>
      </w:r>
      <w:r w:rsidRPr="009B654D">
        <w:rPr>
          <w:rFonts w:eastAsia="Calibri" w:cs="Times New Roman"/>
        </w:rPr>
        <w:t>tax increase</w:t>
      </w:r>
      <w:r>
        <w:rPr>
          <w:rFonts w:eastAsia="Calibri" w:cs="Times New Roman"/>
        </w:rPr>
        <w:t>s</w:t>
      </w:r>
      <w:r w:rsidRPr="009B654D">
        <w:rPr>
          <w:rFonts w:eastAsia="Calibri" w:cs="Times New Roman"/>
        </w:rPr>
        <w:t xml:space="preserve"> the costs of all industries and hence drive</w:t>
      </w:r>
      <w:r>
        <w:rPr>
          <w:rFonts w:eastAsia="Calibri" w:cs="Times New Roman"/>
        </w:rPr>
        <w:t>s</w:t>
      </w:r>
      <w:r w:rsidRPr="009B654D">
        <w:rPr>
          <w:rFonts w:eastAsia="Calibri" w:cs="Times New Roman"/>
        </w:rPr>
        <w:t xml:space="preserve"> a wedge between South African prices and that of the rest of the world.  Our industries become less competitive and lose foreign </w:t>
      </w:r>
      <w:r>
        <w:rPr>
          <w:rFonts w:eastAsia="Calibri" w:cs="Times New Roman"/>
        </w:rPr>
        <w:t xml:space="preserve">market </w:t>
      </w:r>
      <w:r w:rsidRPr="009B654D">
        <w:rPr>
          <w:rFonts w:eastAsia="Calibri" w:cs="Times New Roman"/>
        </w:rPr>
        <w:t>for their outputs</w:t>
      </w:r>
      <w:r>
        <w:rPr>
          <w:rFonts w:eastAsia="Calibri" w:cs="Times New Roman"/>
        </w:rPr>
        <w:t xml:space="preserve"> as they become more expensive</w:t>
      </w:r>
      <w:r w:rsidRPr="009B654D">
        <w:rPr>
          <w:rFonts w:eastAsia="Calibri" w:cs="Times New Roman"/>
        </w:rPr>
        <w:t xml:space="preserve">. Figure </w:t>
      </w:r>
      <w:r w:rsidR="00BC30CC">
        <w:rPr>
          <w:rFonts w:eastAsia="Calibri" w:cs="Times New Roman"/>
        </w:rPr>
        <w:t>6</w:t>
      </w:r>
      <w:r w:rsidRPr="009B654D">
        <w:rPr>
          <w:rFonts w:eastAsia="Calibri" w:cs="Times New Roman"/>
        </w:rPr>
        <w:t xml:space="preserve"> shows that exports of both industries decline by </w:t>
      </w:r>
      <w:r w:rsidR="00127098">
        <w:rPr>
          <w:rFonts w:eastAsia="Calibri" w:cs="Times New Roman"/>
        </w:rPr>
        <w:t xml:space="preserve">about </w:t>
      </w:r>
      <w:r w:rsidRPr="009B654D">
        <w:rPr>
          <w:rFonts w:eastAsia="Calibri" w:cs="Times New Roman"/>
        </w:rPr>
        <w:t>30 per cent over the forecast period.</w:t>
      </w:r>
    </w:p>
    <w:p w14:paraId="11ABE0A8" w14:textId="77777777" w:rsidR="00E37FFB" w:rsidRDefault="00E37FFB" w:rsidP="00E37FFB">
      <w:pPr>
        <w:spacing w:after="0"/>
        <w:rPr>
          <w:rFonts w:eastAsia="Calibri" w:cs="Times New Roman"/>
        </w:rPr>
      </w:pPr>
    </w:p>
    <w:p w14:paraId="06AF55DD" w14:textId="77777777" w:rsidR="00335874" w:rsidRDefault="00335874">
      <w:pPr>
        <w:jc w:val="left"/>
        <w:rPr>
          <w:rFonts w:eastAsia="Calibri" w:cs="Times New Roman"/>
          <w:b/>
          <w:bCs/>
        </w:rPr>
      </w:pPr>
      <w:bookmarkStart w:id="22" w:name="_Ref394930626"/>
      <w:r>
        <w:rPr>
          <w:rFonts w:eastAsia="Calibri" w:cs="Times New Roman"/>
          <w:b/>
          <w:bCs/>
        </w:rPr>
        <w:br w:type="page"/>
      </w:r>
    </w:p>
    <w:p w14:paraId="09D64E99" w14:textId="4AF07B19" w:rsidR="00E37FFB" w:rsidRPr="009B654D" w:rsidRDefault="00E37FFB" w:rsidP="00E37FFB">
      <w:pPr>
        <w:tabs>
          <w:tab w:val="left" w:pos="1134"/>
        </w:tabs>
        <w:spacing w:after="0"/>
        <w:ind w:left="1134" w:hanging="1134"/>
        <w:rPr>
          <w:rFonts w:eastAsia="Calibri" w:cs="Times New Roman"/>
          <w:b/>
          <w:bCs/>
        </w:rPr>
      </w:pPr>
      <w:r w:rsidRPr="009B654D">
        <w:rPr>
          <w:rFonts w:eastAsia="Calibri" w:cs="Times New Roman"/>
          <w:b/>
          <w:bCs/>
        </w:rPr>
        <w:lastRenderedPageBreak/>
        <w:t>Figure 5</w:t>
      </w:r>
      <w:bookmarkEnd w:id="22"/>
      <w:r w:rsidRPr="009B654D">
        <w:rPr>
          <w:rFonts w:eastAsia="Calibri" w:cs="Times New Roman"/>
          <w:b/>
          <w:bCs/>
        </w:rPr>
        <w:t>:</w:t>
      </w:r>
      <w:r w:rsidRPr="009B654D">
        <w:rPr>
          <w:rFonts w:eastAsia="Calibri" w:cs="Times New Roman"/>
          <w:b/>
          <w:bCs/>
        </w:rPr>
        <w:tab/>
        <w:t>Industry results of the implementation of a fuel input tax in per cent change deviation from the baseline and with all the tax exemptions phased out except for the agricultural industries (policy set 2)</w:t>
      </w:r>
    </w:p>
    <w:p w14:paraId="7D91F495" w14:textId="77777777" w:rsidR="00E37FFB" w:rsidRPr="009B654D" w:rsidRDefault="00832742" w:rsidP="00E37FFB">
      <w:pPr>
        <w:spacing w:after="0"/>
        <w:rPr>
          <w:rFonts w:eastAsia="Calibri" w:cs="Times New Roman"/>
        </w:rPr>
      </w:pPr>
      <w:r>
        <w:rPr>
          <w:noProof/>
          <w:lang w:eastAsia="en-ZA"/>
        </w:rPr>
        <w:drawing>
          <wp:inline distT="0" distB="0" distL="0" distR="0" wp14:anchorId="4404984E" wp14:editId="7F53BA87">
            <wp:extent cx="5035550" cy="3460750"/>
            <wp:effectExtent l="0" t="0" r="127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60F063" w14:textId="77777777" w:rsidR="00E37FFB" w:rsidRPr="009B654D" w:rsidRDefault="00E37FFB" w:rsidP="00E37FFB">
      <w:pPr>
        <w:spacing w:after="0"/>
        <w:rPr>
          <w:rFonts w:eastAsia="Calibri" w:cs="Times New Roman"/>
        </w:rPr>
      </w:pPr>
    </w:p>
    <w:p w14:paraId="18F2F456" w14:textId="15C1A565" w:rsidR="00E37FFB" w:rsidRPr="009B654D" w:rsidRDefault="00E37FFB" w:rsidP="00E37FFB">
      <w:pPr>
        <w:spacing w:after="0"/>
        <w:ind w:left="1134" w:hanging="1134"/>
        <w:rPr>
          <w:rFonts w:eastAsia="Calibri" w:cs="Times New Roman"/>
          <w:b/>
          <w:bCs/>
        </w:rPr>
      </w:pPr>
      <w:bookmarkStart w:id="23" w:name="_Ref394934987"/>
      <w:r w:rsidRPr="009B654D">
        <w:rPr>
          <w:rFonts w:eastAsia="Calibri" w:cs="Times New Roman"/>
          <w:b/>
          <w:bCs/>
        </w:rPr>
        <w:t xml:space="preserve">Figure </w:t>
      </w:r>
      <w:bookmarkEnd w:id="23"/>
      <w:r w:rsidR="00BC30CC">
        <w:rPr>
          <w:rFonts w:eastAsia="Calibri" w:cs="Times New Roman"/>
          <w:b/>
          <w:bCs/>
        </w:rPr>
        <w:t>6</w:t>
      </w:r>
      <w:r w:rsidRPr="009B654D">
        <w:rPr>
          <w:rFonts w:eastAsia="Calibri" w:cs="Times New Roman"/>
          <w:b/>
          <w:bCs/>
        </w:rPr>
        <w:t>:</w:t>
      </w:r>
      <w:r w:rsidRPr="009B654D">
        <w:rPr>
          <w:rFonts w:eastAsia="Calibri" w:cs="Times New Roman"/>
          <w:b/>
          <w:bCs/>
        </w:rPr>
        <w:tab/>
        <w:t xml:space="preserve">Cumulative percentage change in exports of Iron and Steel and Other Manufacturing (deviation from baseline) </w:t>
      </w:r>
    </w:p>
    <w:p w14:paraId="3B945013" w14:textId="77777777" w:rsidR="00E37FFB" w:rsidRPr="009B654D" w:rsidRDefault="00E37FFB" w:rsidP="00E37FFB">
      <w:pPr>
        <w:spacing w:after="0"/>
        <w:rPr>
          <w:rFonts w:eastAsia="Calibri" w:cs="Times New Roman"/>
        </w:rPr>
      </w:pPr>
      <w:r w:rsidRPr="009B654D">
        <w:rPr>
          <w:rFonts w:eastAsia="Calibri" w:cs="Times New Roman"/>
          <w:noProof/>
          <w:lang w:eastAsia="en-ZA"/>
        </w:rPr>
        <w:drawing>
          <wp:inline distT="0" distB="0" distL="0" distR="0" wp14:anchorId="4A27D736" wp14:editId="75780A5B">
            <wp:extent cx="5016500" cy="2355850"/>
            <wp:effectExtent l="0" t="0" r="12700" b="25400"/>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D0B1A8" w14:textId="77777777" w:rsidR="002957D8" w:rsidRDefault="002957D8" w:rsidP="00E37FFB">
      <w:pPr>
        <w:pStyle w:val="Heading3"/>
        <w:rPr>
          <w:rFonts w:eastAsia="Times New Roman"/>
        </w:rPr>
      </w:pPr>
      <w:bookmarkStart w:id="24" w:name="_Toc395272730"/>
    </w:p>
    <w:p w14:paraId="383C622F" w14:textId="77777777" w:rsidR="00E37FFB" w:rsidRPr="009B654D" w:rsidRDefault="00E37FFB" w:rsidP="00E37FFB">
      <w:pPr>
        <w:pStyle w:val="Heading3"/>
        <w:rPr>
          <w:rFonts w:eastAsia="Times New Roman"/>
        </w:rPr>
      </w:pPr>
      <w:r w:rsidRPr="009B654D">
        <w:rPr>
          <w:rFonts w:eastAsia="Times New Roman"/>
        </w:rPr>
        <w:t>Design of the tax recycling schemes</w:t>
      </w:r>
      <w:bookmarkEnd w:id="24"/>
    </w:p>
    <w:p w14:paraId="1B9DEDB0" w14:textId="641266D2" w:rsidR="004874BF" w:rsidRPr="00B812DB" w:rsidRDefault="004874BF" w:rsidP="004874BF">
      <w:pPr>
        <w:widowControl w:val="0"/>
        <w:tabs>
          <w:tab w:val="left" w:pos="220"/>
          <w:tab w:val="left" w:pos="720"/>
        </w:tabs>
        <w:autoSpaceDE w:val="0"/>
        <w:autoSpaceDN w:val="0"/>
        <w:adjustRightInd w:val="0"/>
        <w:spacing w:after="0"/>
        <w:rPr>
          <w:szCs w:val="20"/>
          <w:lang w:val="en-GB"/>
        </w:rPr>
      </w:pPr>
      <w:r w:rsidRPr="00B812DB">
        <w:rPr>
          <w:szCs w:val="20"/>
          <w:lang w:val="en-GB"/>
        </w:rPr>
        <w:t>South Africa</w:t>
      </w:r>
      <w:r w:rsidR="00A72FF5">
        <w:rPr>
          <w:szCs w:val="20"/>
          <w:lang w:val="en-GB"/>
        </w:rPr>
        <w:t>,</w:t>
      </w:r>
      <w:r w:rsidRPr="00B812DB">
        <w:rPr>
          <w:szCs w:val="20"/>
          <w:lang w:val="en-GB"/>
        </w:rPr>
        <w:t xml:space="preserve"> </w:t>
      </w:r>
      <w:r>
        <w:rPr>
          <w:szCs w:val="20"/>
          <w:lang w:val="en-GB"/>
        </w:rPr>
        <w:t>in line with its fiscal management policy</w:t>
      </w:r>
      <w:r w:rsidR="00A72FF5">
        <w:rPr>
          <w:szCs w:val="20"/>
          <w:lang w:val="en-GB"/>
        </w:rPr>
        <w:t>,</w:t>
      </w:r>
      <w:r>
        <w:rPr>
          <w:szCs w:val="20"/>
          <w:lang w:val="en-GB"/>
        </w:rPr>
        <w:t xml:space="preserve"> </w:t>
      </w:r>
      <w:r w:rsidRPr="00B812DB">
        <w:rPr>
          <w:szCs w:val="20"/>
          <w:lang w:val="en-GB"/>
        </w:rPr>
        <w:t xml:space="preserve">will not </w:t>
      </w:r>
      <w:r>
        <w:rPr>
          <w:szCs w:val="20"/>
          <w:lang w:val="en-GB"/>
        </w:rPr>
        <w:t xml:space="preserve">be </w:t>
      </w:r>
      <w:r w:rsidRPr="00B812DB">
        <w:rPr>
          <w:szCs w:val="20"/>
          <w:lang w:val="en-GB"/>
        </w:rPr>
        <w:t>ring-fenc</w:t>
      </w:r>
      <w:r>
        <w:rPr>
          <w:szCs w:val="20"/>
          <w:lang w:val="en-GB"/>
        </w:rPr>
        <w:t>ing</w:t>
      </w:r>
      <w:r w:rsidRPr="00B812DB">
        <w:rPr>
          <w:szCs w:val="20"/>
          <w:lang w:val="en-GB"/>
        </w:rPr>
        <w:t xml:space="preserve"> </w:t>
      </w:r>
      <w:r>
        <w:rPr>
          <w:szCs w:val="20"/>
          <w:lang w:val="en-GB"/>
        </w:rPr>
        <w:t xml:space="preserve">the </w:t>
      </w:r>
      <w:r w:rsidRPr="00B812DB">
        <w:rPr>
          <w:szCs w:val="20"/>
          <w:lang w:val="en-GB"/>
        </w:rPr>
        <w:t xml:space="preserve">carbon </w:t>
      </w:r>
      <w:r>
        <w:rPr>
          <w:szCs w:val="20"/>
          <w:lang w:val="en-GB"/>
        </w:rPr>
        <w:t xml:space="preserve">tax </w:t>
      </w:r>
      <w:r w:rsidRPr="00B812DB">
        <w:rPr>
          <w:szCs w:val="20"/>
          <w:lang w:val="en-GB"/>
        </w:rPr>
        <w:t xml:space="preserve">revenue for specific projects or sectors. </w:t>
      </w:r>
      <w:r>
        <w:rPr>
          <w:szCs w:val="20"/>
          <w:lang w:val="en-GB"/>
        </w:rPr>
        <w:t xml:space="preserve">However, a number of recycling initiatives have been highlighted in the policy paper where the carbon tax revenue could be channelled. </w:t>
      </w:r>
      <w:r w:rsidR="008A5C7E">
        <w:rPr>
          <w:szCs w:val="20"/>
          <w:lang w:val="en-GB"/>
        </w:rPr>
        <w:t xml:space="preserve"> </w:t>
      </w:r>
      <w:r w:rsidRPr="00B812DB">
        <w:rPr>
          <w:szCs w:val="20"/>
          <w:lang w:val="en-GB"/>
        </w:rPr>
        <w:t xml:space="preserve">The modelling approach used here supports South Africa’s planned recycling strategy by identifying those sectors and socio-economic classes that are </w:t>
      </w:r>
      <w:r w:rsidRPr="00B812DB">
        <w:rPr>
          <w:szCs w:val="20"/>
          <w:lang w:val="en-GB"/>
        </w:rPr>
        <w:lastRenderedPageBreak/>
        <w:t xml:space="preserve">most likely to be adversely affected by the tax.  The model is expected to assist decision makers in striking an appropriate balance between environmental and economic goals. </w:t>
      </w:r>
    </w:p>
    <w:p w14:paraId="14B4303D" w14:textId="77777777" w:rsidR="004874BF" w:rsidRPr="00B812DB" w:rsidRDefault="004874BF" w:rsidP="004874BF">
      <w:pPr>
        <w:widowControl w:val="0"/>
        <w:tabs>
          <w:tab w:val="left" w:pos="220"/>
          <w:tab w:val="left" w:pos="720"/>
        </w:tabs>
        <w:autoSpaceDE w:val="0"/>
        <w:autoSpaceDN w:val="0"/>
        <w:adjustRightInd w:val="0"/>
        <w:spacing w:after="0"/>
        <w:rPr>
          <w:szCs w:val="20"/>
          <w:lang w:val="en-GB"/>
        </w:rPr>
      </w:pPr>
    </w:p>
    <w:p w14:paraId="5FAB4995" w14:textId="77777777" w:rsidR="004874BF" w:rsidRPr="00B812DB" w:rsidRDefault="004874BF" w:rsidP="004874BF">
      <w:pPr>
        <w:widowControl w:val="0"/>
        <w:tabs>
          <w:tab w:val="left" w:pos="220"/>
          <w:tab w:val="left" w:pos="720"/>
        </w:tabs>
        <w:autoSpaceDE w:val="0"/>
        <w:autoSpaceDN w:val="0"/>
        <w:adjustRightInd w:val="0"/>
        <w:spacing w:after="0"/>
        <w:rPr>
          <w:szCs w:val="20"/>
          <w:lang w:val="en-GB"/>
        </w:rPr>
      </w:pPr>
      <w:r w:rsidRPr="00B812DB">
        <w:rPr>
          <w:szCs w:val="20"/>
          <w:lang w:val="en-GB"/>
        </w:rPr>
        <w:t xml:space="preserve">Similarly, the National Treasury is committed to using </w:t>
      </w:r>
      <w:r>
        <w:rPr>
          <w:szCs w:val="20"/>
          <w:lang w:val="en-GB"/>
        </w:rPr>
        <w:t xml:space="preserve">the </w:t>
      </w:r>
      <w:r w:rsidRPr="00B812DB">
        <w:rPr>
          <w:szCs w:val="20"/>
          <w:lang w:val="en-GB"/>
        </w:rPr>
        <w:t xml:space="preserve">carbon </w:t>
      </w:r>
      <w:r>
        <w:rPr>
          <w:szCs w:val="20"/>
          <w:lang w:val="en-GB"/>
        </w:rPr>
        <w:t xml:space="preserve">tax </w:t>
      </w:r>
      <w:r w:rsidRPr="00B812DB">
        <w:rPr>
          <w:szCs w:val="20"/>
          <w:lang w:val="en-GB"/>
        </w:rPr>
        <w:t xml:space="preserve">revenue in a manner that prevents an exacerbation of South Africa’s existing socio-economic inequality, and the model serves as a useful tool in suggesting the extent to which, and how this might be </w:t>
      </w:r>
      <w:r>
        <w:rPr>
          <w:szCs w:val="20"/>
          <w:lang w:val="en-GB"/>
        </w:rPr>
        <w:t>done</w:t>
      </w:r>
      <w:r w:rsidRPr="00B812DB">
        <w:rPr>
          <w:szCs w:val="20"/>
          <w:lang w:val="en-GB"/>
        </w:rPr>
        <w:t xml:space="preserve">.  </w:t>
      </w:r>
    </w:p>
    <w:p w14:paraId="4932C686" w14:textId="77777777" w:rsidR="004874BF" w:rsidRPr="000F3BB8" w:rsidRDefault="004874BF" w:rsidP="004874BF"/>
    <w:p w14:paraId="3BF6E403" w14:textId="77777777" w:rsidR="00E37FFB" w:rsidRPr="009B654D" w:rsidRDefault="00E37FFB" w:rsidP="00E37FFB">
      <w:pPr>
        <w:spacing w:after="0"/>
        <w:rPr>
          <w:rFonts w:eastAsia="Calibri" w:cs="Times New Roman"/>
        </w:rPr>
      </w:pPr>
      <w:r w:rsidRPr="009B654D">
        <w:rPr>
          <w:rFonts w:eastAsia="Calibri" w:cs="Times New Roman"/>
        </w:rPr>
        <w:t xml:space="preserve">In </w:t>
      </w:r>
      <w:r w:rsidR="00BC30CC">
        <w:rPr>
          <w:rFonts w:eastAsia="Calibri" w:cs="Times New Roman"/>
        </w:rPr>
        <w:t>the results presented above</w:t>
      </w:r>
      <w:r w:rsidRPr="009B654D">
        <w:rPr>
          <w:rFonts w:eastAsia="Calibri" w:cs="Times New Roman"/>
        </w:rPr>
        <w:t xml:space="preserve"> fuel input taxes were</w:t>
      </w:r>
      <w:r>
        <w:rPr>
          <w:rFonts w:eastAsia="Calibri" w:cs="Times New Roman"/>
        </w:rPr>
        <w:t xml:space="preserve"> shown as being</w:t>
      </w:r>
      <w:r w:rsidRPr="009B654D">
        <w:rPr>
          <w:rFonts w:eastAsia="Calibri" w:cs="Times New Roman"/>
        </w:rPr>
        <w:t xml:space="preserve"> levied on all industries when they use fuels as inputs in their production processes, but </w:t>
      </w:r>
      <w:r>
        <w:rPr>
          <w:rFonts w:eastAsia="Calibri" w:cs="Times New Roman"/>
        </w:rPr>
        <w:t>there was no recycling of</w:t>
      </w:r>
      <w:r w:rsidRPr="009B654D">
        <w:rPr>
          <w:rFonts w:eastAsia="Calibri" w:cs="Times New Roman"/>
        </w:rPr>
        <w:t xml:space="preserve"> the tax revenue back into the economy.  This is a very unrealistic scenario</w:t>
      </w:r>
      <w:r>
        <w:rPr>
          <w:rFonts w:eastAsia="Calibri" w:cs="Times New Roman"/>
        </w:rPr>
        <w:t>,</w:t>
      </w:r>
      <w:r w:rsidRPr="009B654D">
        <w:rPr>
          <w:rFonts w:eastAsia="Calibri" w:cs="Times New Roman"/>
        </w:rPr>
        <w:t xml:space="preserve"> because it would not happen in reality that the government le</w:t>
      </w:r>
      <w:r>
        <w:rPr>
          <w:rFonts w:eastAsia="Calibri" w:cs="Times New Roman"/>
        </w:rPr>
        <w:t xml:space="preserve">vies taxes but does not spend </w:t>
      </w:r>
      <w:r w:rsidR="00832742">
        <w:rPr>
          <w:rFonts w:eastAsia="Calibri" w:cs="Times New Roman"/>
        </w:rPr>
        <w:t>the</w:t>
      </w:r>
      <w:r>
        <w:rPr>
          <w:rFonts w:eastAsia="Calibri" w:cs="Times New Roman"/>
        </w:rPr>
        <w:t xml:space="preserve"> revenue</w:t>
      </w:r>
      <w:r w:rsidRPr="009B654D">
        <w:rPr>
          <w:rFonts w:eastAsia="Calibri" w:cs="Times New Roman"/>
        </w:rPr>
        <w:t>.  The economic effects of such an unrealistic scenario is that total demand in the economy would shrink (the taxes are leakages from the economic system that are not injected back in</w:t>
      </w:r>
      <w:r>
        <w:rPr>
          <w:rFonts w:eastAsia="Calibri" w:cs="Times New Roman"/>
        </w:rPr>
        <w:t>,</w:t>
      </w:r>
      <w:r w:rsidRPr="009B654D">
        <w:rPr>
          <w:rFonts w:eastAsia="Calibri" w:cs="Times New Roman"/>
        </w:rPr>
        <w:t xml:space="preserve"> resulting in an increase in government surpluses), resulting in a general price decrease (deflation) and lower costs of production.  Exports will usually benefit from such economic conditions.  Although the revenue collected would not be earmarked for specific expenditures, it is important to choose different channels of revenue recycling in the model and study the different outcomes that the various channels would result in. </w:t>
      </w:r>
    </w:p>
    <w:p w14:paraId="09961F0F" w14:textId="77777777" w:rsidR="00E37FFB" w:rsidRPr="009B654D" w:rsidRDefault="00E37FFB" w:rsidP="00E37FFB">
      <w:pPr>
        <w:spacing w:after="0"/>
        <w:rPr>
          <w:rFonts w:eastAsia="Calibri" w:cs="Times New Roman"/>
        </w:rPr>
      </w:pPr>
    </w:p>
    <w:p w14:paraId="5F323F5D" w14:textId="77777777" w:rsidR="00E37FFB" w:rsidRDefault="00E37FFB" w:rsidP="00E37FFB">
      <w:pPr>
        <w:spacing w:after="0"/>
        <w:rPr>
          <w:rFonts w:eastAsia="Calibri" w:cs="Times New Roman"/>
        </w:rPr>
      </w:pPr>
      <w:r w:rsidRPr="009B654D">
        <w:rPr>
          <w:rFonts w:eastAsia="Calibri" w:cs="Times New Roman"/>
        </w:rPr>
        <w:t xml:space="preserve">UPGEM is not a macroeconomic model with elaborate government accounts in it.  The government revenue and tax system </w:t>
      </w:r>
      <w:r>
        <w:rPr>
          <w:rFonts w:eastAsia="Calibri" w:cs="Times New Roman"/>
        </w:rPr>
        <w:t xml:space="preserve">in the model </w:t>
      </w:r>
      <w:r w:rsidRPr="009B654D">
        <w:rPr>
          <w:rFonts w:eastAsia="Calibri" w:cs="Times New Roman"/>
        </w:rPr>
        <w:t xml:space="preserve">is primitive, because the model specialises in determining the prices and quantities of industry production of various commodities in its quest to search for new equilibriums after certain shocks have been applied to the model.  We apply the recycling of revenue through subsidies or lower taxes on industries or commodities in the model, thereby affecting the price system, rather than on higher levels of spending by the government.  </w:t>
      </w:r>
      <w:bookmarkStart w:id="25" w:name="_Toc394980245"/>
      <w:r w:rsidRPr="009B654D">
        <w:rPr>
          <w:rFonts w:eastAsia="Calibri" w:cs="Times New Roman"/>
        </w:rPr>
        <w:t xml:space="preserve">We model </w:t>
      </w:r>
      <w:r w:rsidR="00832742">
        <w:rPr>
          <w:rFonts w:eastAsia="Calibri" w:cs="Times New Roman"/>
        </w:rPr>
        <w:t>two</w:t>
      </w:r>
      <w:r w:rsidRPr="009B654D">
        <w:rPr>
          <w:rFonts w:eastAsia="Calibri" w:cs="Times New Roman"/>
        </w:rPr>
        <w:t xml:space="preserve"> different recycling schemes, namely by decreasing</w:t>
      </w:r>
      <w:bookmarkEnd w:id="25"/>
      <w:r w:rsidRPr="009B654D">
        <w:rPr>
          <w:rFonts w:eastAsia="Calibri" w:cs="Times New Roman"/>
        </w:rPr>
        <w:t xml:space="preserve">: </w:t>
      </w:r>
    </w:p>
    <w:p w14:paraId="25B5C67A" w14:textId="77777777" w:rsidR="00E37FFB" w:rsidRPr="009B654D" w:rsidRDefault="00E37FFB" w:rsidP="00E37FFB">
      <w:pPr>
        <w:spacing w:after="0"/>
        <w:rPr>
          <w:rFonts w:eastAsia="Calibri" w:cs="Times New Roman"/>
        </w:rPr>
      </w:pPr>
    </w:p>
    <w:p w14:paraId="498BFB2E" w14:textId="77777777" w:rsidR="00E37FFB" w:rsidRPr="009B654D" w:rsidRDefault="00832742" w:rsidP="00832742">
      <w:pPr>
        <w:numPr>
          <w:ilvl w:val="0"/>
          <w:numId w:val="10"/>
        </w:numPr>
        <w:spacing w:after="0"/>
        <w:ind w:left="1418" w:hanging="709"/>
        <w:contextualSpacing/>
        <w:rPr>
          <w:rFonts w:eastAsia="Calibri" w:cs="Times New Roman"/>
        </w:rPr>
      </w:pPr>
      <w:r>
        <w:rPr>
          <w:rFonts w:eastAsia="Calibri" w:cs="Times New Roman"/>
        </w:rPr>
        <w:t xml:space="preserve">the VAT rate on industries and households, and </w:t>
      </w:r>
    </w:p>
    <w:p w14:paraId="1A2FEAC8" w14:textId="77777777" w:rsidR="00E37FFB" w:rsidRPr="009B654D" w:rsidRDefault="00E37FFB" w:rsidP="00E37FFB">
      <w:pPr>
        <w:numPr>
          <w:ilvl w:val="0"/>
          <w:numId w:val="10"/>
        </w:numPr>
        <w:spacing w:after="0"/>
        <w:ind w:left="1418" w:hanging="709"/>
        <w:contextualSpacing/>
        <w:rPr>
          <w:rFonts w:eastAsia="Calibri" w:cs="Times New Roman"/>
        </w:rPr>
      </w:pPr>
      <w:bookmarkStart w:id="26" w:name="_Toc394980250"/>
      <w:proofErr w:type="gramStart"/>
      <w:r w:rsidRPr="009B654D">
        <w:rPr>
          <w:rFonts w:eastAsia="Calibri" w:cs="Times New Roman"/>
        </w:rPr>
        <w:t>the</w:t>
      </w:r>
      <w:proofErr w:type="gramEnd"/>
      <w:r w:rsidRPr="009B654D">
        <w:rPr>
          <w:rFonts w:eastAsia="Calibri" w:cs="Times New Roman"/>
        </w:rPr>
        <w:t xml:space="preserve"> power of the tax on intermediate sales to the green electricity generators and the electric machinery industry.</w:t>
      </w:r>
      <w:bookmarkEnd w:id="26"/>
      <w:r w:rsidRPr="009B654D">
        <w:rPr>
          <w:rFonts w:eastAsia="Calibri" w:cs="Times New Roman"/>
        </w:rPr>
        <w:t xml:space="preserve"> </w:t>
      </w:r>
    </w:p>
    <w:p w14:paraId="3B4EB0AE" w14:textId="77777777" w:rsidR="00E37FFB" w:rsidRPr="009B654D" w:rsidRDefault="00E37FFB" w:rsidP="00E37FFB">
      <w:pPr>
        <w:spacing w:after="0"/>
        <w:rPr>
          <w:rFonts w:eastAsia="Calibri" w:cs="Times New Roman"/>
        </w:rPr>
      </w:pPr>
    </w:p>
    <w:p w14:paraId="54DCDBA0" w14:textId="77777777" w:rsidR="00E37FFB" w:rsidRPr="009B654D" w:rsidRDefault="00E37FFB" w:rsidP="00E37FFB">
      <w:pPr>
        <w:spacing w:after="0"/>
        <w:rPr>
          <w:rFonts w:eastAsia="Calibri" w:cs="Times New Roman"/>
          <w:b/>
        </w:rPr>
      </w:pPr>
      <w:r w:rsidRPr="009B654D">
        <w:rPr>
          <w:rFonts w:eastAsia="Calibri" w:cs="Times New Roman"/>
        </w:rPr>
        <w:t>When the tax revenue is not recycled</w:t>
      </w:r>
      <w:r>
        <w:rPr>
          <w:rFonts w:eastAsia="Calibri" w:cs="Times New Roman"/>
        </w:rPr>
        <w:t>,</w:t>
      </w:r>
      <w:r w:rsidRPr="009B654D">
        <w:rPr>
          <w:rFonts w:eastAsia="Calibri" w:cs="Times New Roman"/>
        </w:rPr>
        <w:t xml:space="preserve"> the government runs into a large budget surplus (or a decrease in the deficit).  The recycling is effected by keeping the budget surplus (or deficit) fixed at the same level as in the baseline, while allowing one of </w:t>
      </w:r>
      <w:r>
        <w:rPr>
          <w:rFonts w:eastAsia="Calibri" w:cs="Times New Roman"/>
        </w:rPr>
        <w:t xml:space="preserve">the </w:t>
      </w:r>
      <w:r w:rsidR="00832742">
        <w:rPr>
          <w:rFonts w:eastAsia="Calibri" w:cs="Times New Roman"/>
        </w:rPr>
        <w:t>two</w:t>
      </w:r>
      <w:r w:rsidRPr="009B654D">
        <w:rPr>
          <w:rFonts w:eastAsia="Calibri" w:cs="Times New Roman"/>
        </w:rPr>
        <w:t xml:space="preserve"> tax variables mentioned above to adjust accordingly.  </w:t>
      </w:r>
    </w:p>
    <w:p w14:paraId="37E26FDA" w14:textId="77777777" w:rsidR="00E37FFB" w:rsidRPr="009B654D" w:rsidRDefault="00E37FFB" w:rsidP="00E37FFB">
      <w:pPr>
        <w:pStyle w:val="Heading3"/>
        <w:rPr>
          <w:rFonts w:eastAsia="Times New Roman"/>
        </w:rPr>
      </w:pPr>
      <w:bookmarkStart w:id="27" w:name="_Toc394980252"/>
      <w:bookmarkStart w:id="28" w:name="_Toc395272731"/>
      <w:r w:rsidRPr="009B654D">
        <w:rPr>
          <w:rFonts w:eastAsia="Times New Roman"/>
        </w:rPr>
        <w:t xml:space="preserve">Comparing the effects of the </w:t>
      </w:r>
      <w:r w:rsidR="00832742">
        <w:rPr>
          <w:rFonts w:eastAsia="Times New Roman"/>
        </w:rPr>
        <w:t>two</w:t>
      </w:r>
      <w:r w:rsidRPr="009B654D">
        <w:rPr>
          <w:rFonts w:eastAsia="Times New Roman"/>
        </w:rPr>
        <w:t xml:space="preserve"> recycling schemes</w:t>
      </w:r>
      <w:bookmarkEnd w:id="27"/>
      <w:bookmarkEnd w:id="28"/>
    </w:p>
    <w:p w14:paraId="04E9D92A" w14:textId="77777777" w:rsidR="00E37FFB" w:rsidRPr="009B654D" w:rsidRDefault="00E37FFB" w:rsidP="00E37FFB">
      <w:pPr>
        <w:pStyle w:val="Heading4"/>
        <w:rPr>
          <w:rFonts w:eastAsia="Calibri"/>
        </w:rPr>
      </w:pPr>
      <w:r w:rsidRPr="009B654D">
        <w:rPr>
          <w:rFonts w:eastAsia="Calibri"/>
        </w:rPr>
        <w:t>The effects of the various recycling schemes on real GDP growth</w:t>
      </w:r>
    </w:p>
    <w:p w14:paraId="1A3CC101" w14:textId="0EDB2C61" w:rsidR="00E37FFB" w:rsidRDefault="00E37FFB" w:rsidP="00E37FFB">
      <w:pPr>
        <w:spacing w:after="0"/>
        <w:rPr>
          <w:rFonts w:eastAsia="Calibri" w:cs="Times New Roman"/>
        </w:rPr>
      </w:pPr>
      <w:r w:rsidRPr="009B654D">
        <w:rPr>
          <w:rFonts w:eastAsia="Calibri" w:cs="Times New Roman"/>
        </w:rPr>
        <w:t xml:space="preserve">Figure </w:t>
      </w:r>
      <w:r w:rsidR="00BC30CC">
        <w:rPr>
          <w:rFonts w:eastAsia="Calibri" w:cs="Times New Roman"/>
        </w:rPr>
        <w:t>7</w:t>
      </w:r>
      <w:r w:rsidRPr="009B654D">
        <w:rPr>
          <w:rFonts w:eastAsia="Calibri" w:cs="Times New Roman"/>
        </w:rPr>
        <w:t xml:space="preserve"> shows the deviations in real GDP growth from the baseline as a result of the </w:t>
      </w:r>
      <w:r w:rsidR="00A72FF5">
        <w:rPr>
          <w:rFonts w:eastAsia="Calibri" w:cs="Times New Roman"/>
        </w:rPr>
        <w:t>general tax recycling scheme</w:t>
      </w:r>
      <w:r w:rsidRPr="009B654D">
        <w:rPr>
          <w:rFonts w:eastAsia="Calibri" w:cs="Times New Roman"/>
        </w:rPr>
        <w:t>.  With the said fall in total demand when tax revenue is not recycled</w:t>
      </w:r>
      <w:r>
        <w:rPr>
          <w:rFonts w:eastAsia="Calibri" w:cs="Times New Roman"/>
        </w:rPr>
        <w:t>,</w:t>
      </w:r>
      <w:r w:rsidRPr="009B654D">
        <w:rPr>
          <w:rFonts w:eastAsia="Calibri" w:cs="Times New Roman"/>
        </w:rPr>
        <w:t xml:space="preserve"> the real GDP falls much below the baseline, as depicted in Figure 5 above.  When the revenue is recycled, however, we would expect the size of the deviation from the baseline to decrease, as the recycling is stimulating some part of the economy.  Figure </w:t>
      </w:r>
      <w:r w:rsidR="00BC30CC">
        <w:rPr>
          <w:rFonts w:eastAsia="Calibri" w:cs="Times New Roman"/>
        </w:rPr>
        <w:t>7</w:t>
      </w:r>
      <w:r w:rsidRPr="009B654D">
        <w:rPr>
          <w:rFonts w:eastAsia="Calibri" w:cs="Times New Roman"/>
        </w:rPr>
        <w:t xml:space="preserve"> shows </w:t>
      </w:r>
      <w:r w:rsidR="00A72FF5">
        <w:rPr>
          <w:rFonts w:eastAsia="Calibri" w:cs="Times New Roman"/>
        </w:rPr>
        <w:t>three</w:t>
      </w:r>
      <w:r w:rsidRPr="009B654D">
        <w:rPr>
          <w:rFonts w:eastAsia="Calibri" w:cs="Times New Roman"/>
        </w:rPr>
        <w:t xml:space="preserve"> lines for real GDP deviation from the baseline for the </w:t>
      </w:r>
      <w:r w:rsidR="00A72FF5">
        <w:rPr>
          <w:rFonts w:eastAsia="Calibri" w:cs="Times New Roman"/>
        </w:rPr>
        <w:t xml:space="preserve">two </w:t>
      </w:r>
      <w:r w:rsidRPr="009B654D">
        <w:rPr>
          <w:rFonts w:eastAsia="Calibri" w:cs="Times New Roman"/>
        </w:rPr>
        <w:t>no recycling case</w:t>
      </w:r>
      <w:r w:rsidR="00A72FF5">
        <w:rPr>
          <w:rFonts w:eastAsia="Calibri" w:cs="Times New Roman"/>
        </w:rPr>
        <w:t>s</w:t>
      </w:r>
      <w:r w:rsidRPr="009B654D">
        <w:rPr>
          <w:rFonts w:eastAsia="Calibri" w:cs="Times New Roman"/>
        </w:rPr>
        <w:t xml:space="preserve"> and the </w:t>
      </w:r>
      <w:r w:rsidR="00A72FF5">
        <w:rPr>
          <w:rFonts w:eastAsia="Calibri" w:cs="Times New Roman"/>
        </w:rPr>
        <w:t>general</w:t>
      </w:r>
      <w:r w:rsidRPr="009B654D">
        <w:rPr>
          <w:rFonts w:eastAsia="Calibri" w:cs="Times New Roman"/>
        </w:rPr>
        <w:t xml:space="preserve"> recycling scenario discussed above. </w:t>
      </w:r>
    </w:p>
    <w:p w14:paraId="27C5054D" w14:textId="77777777" w:rsidR="00E37FFB" w:rsidRDefault="00E37FFB" w:rsidP="00E37FFB">
      <w:pPr>
        <w:spacing w:after="0"/>
        <w:rPr>
          <w:rFonts w:eastAsia="Calibri" w:cs="Times New Roman"/>
        </w:rPr>
      </w:pPr>
    </w:p>
    <w:p w14:paraId="4C692ED1" w14:textId="77777777" w:rsidR="00E37FFB" w:rsidRPr="009B654D" w:rsidRDefault="00E37FFB" w:rsidP="00E37FFB">
      <w:pPr>
        <w:spacing w:after="0"/>
        <w:ind w:left="1134" w:hanging="1134"/>
        <w:rPr>
          <w:rFonts w:eastAsia="Calibri" w:cs="Times New Roman"/>
          <w:b/>
          <w:bCs/>
        </w:rPr>
      </w:pPr>
      <w:bookmarkStart w:id="29" w:name="_Ref394607504"/>
      <w:bookmarkStart w:id="30" w:name="_Toc394850377"/>
      <w:r w:rsidRPr="009B654D">
        <w:rPr>
          <w:rFonts w:eastAsia="Calibri" w:cs="Times New Roman"/>
          <w:b/>
          <w:bCs/>
        </w:rPr>
        <w:lastRenderedPageBreak/>
        <w:t xml:space="preserve">Figure </w:t>
      </w:r>
      <w:bookmarkEnd w:id="29"/>
      <w:r w:rsidR="00BC30CC">
        <w:rPr>
          <w:rFonts w:eastAsia="Calibri" w:cs="Times New Roman"/>
          <w:b/>
          <w:bCs/>
        </w:rPr>
        <w:t>7</w:t>
      </w:r>
      <w:r w:rsidRPr="009B654D">
        <w:rPr>
          <w:rFonts w:eastAsia="Calibri" w:cs="Times New Roman"/>
          <w:b/>
          <w:bCs/>
        </w:rPr>
        <w:t>:</w:t>
      </w:r>
      <w:r w:rsidRPr="009B654D">
        <w:rPr>
          <w:rFonts w:eastAsia="Calibri" w:cs="Times New Roman"/>
          <w:b/>
          <w:bCs/>
        </w:rPr>
        <w:tab/>
        <w:t>Cumulative % change of the impact of imposing carbon taxes on the real GDP of the no-recycling scenarios compared to five recycling scenarios</w:t>
      </w:r>
      <w:bookmarkEnd w:id="30"/>
    </w:p>
    <w:p w14:paraId="7A35EB94" w14:textId="77777777" w:rsidR="00E37FFB" w:rsidRPr="009B654D" w:rsidRDefault="00321DB4" w:rsidP="00E37FFB">
      <w:pPr>
        <w:spacing w:after="0"/>
        <w:rPr>
          <w:rFonts w:eastAsia="Calibri" w:cs="Times New Roman"/>
        </w:rPr>
      </w:pPr>
      <w:r>
        <w:rPr>
          <w:noProof/>
          <w:lang w:eastAsia="en-ZA"/>
        </w:rPr>
        <w:drawing>
          <wp:inline distT="0" distB="0" distL="0" distR="0" wp14:anchorId="193239CD" wp14:editId="36E020F3">
            <wp:extent cx="5010912" cy="2648102"/>
            <wp:effectExtent l="0" t="0" r="1841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19B7CF0" w14:textId="77777777" w:rsidR="00E37FFB" w:rsidRPr="009B654D" w:rsidRDefault="00E37FFB" w:rsidP="00E37FFB">
      <w:pPr>
        <w:spacing w:after="0"/>
        <w:rPr>
          <w:rFonts w:eastAsia="Calibri" w:cs="Times New Roman"/>
        </w:rPr>
      </w:pPr>
    </w:p>
    <w:p w14:paraId="4514B384" w14:textId="3447FEDA" w:rsidR="00E37FFB" w:rsidRPr="009B654D" w:rsidRDefault="00E37FFB" w:rsidP="00E37FFB">
      <w:pPr>
        <w:spacing w:after="0"/>
        <w:rPr>
          <w:rFonts w:eastAsia="Calibri" w:cs="Times New Roman"/>
        </w:rPr>
      </w:pPr>
      <w:r w:rsidRPr="009B654D">
        <w:rPr>
          <w:rFonts w:eastAsia="Calibri" w:cs="Times New Roman"/>
        </w:rPr>
        <w:t>The results are largely in line with expectations.  Recycling through a reduction in the general tax on production takes real GDP almost back to the baseline</w:t>
      </w:r>
      <w:r w:rsidR="00A72FF5">
        <w:rPr>
          <w:rFonts w:eastAsia="Calibri" w:cs="Times New Roman"/>
        </w:rPr>
        <w:t xml:space="preserve"> (brown line). GDP is effected most negatively with the introduction of a new tax without exemptions (purple line); </w:t>
      </w:r>
      <w:r w:rsidR="004F02DF">
        <w:rPr>
          <w:rFonts w:eastAsia="Calibri" w:cs="Times New Roman"/>
        </w:rPr>
        <w:t>it is effected less severely if the tax is gradually implemented (blue line)</w:t>
      </w:r>
      <w:r w:rsidRPr="009B654D">
        <w:rPr>
          <w:rFonts w:eastAsia="Calibri" w:cs="Times New Roman"/>
        </w:rPr>
        <w:t xml:space="preserve">, </w:t>
      </w:r>
      <w:r w:rsidR="004F02DF">
        <w:rPr>
          <w:rFonts w:eastAsia="Calibri" w:cs="Times New Roman"/>
        </w:rPr>
        <w:t xml:space="preserve">and effected the least when the revenue is recycled again. </w:t>
      </w:r>
    </w:p>
    <w:p w14:paraId="4637AEDD" w14:textId="72421FDA" w:rsidR="00E37FFB" w:rsidRPr="009B654D" w:rsidRDefault="00E37FFB" w:rsidP="00E37FFB">
      <w:pPr>
        <w:pStyle w:val="Heading4"/>
        <w:rPr>
          <w:rFonts w:eastAsia="Calibri"/>
        </w:rPr>
      </w:pPr>
      <w:r w:rsidRPr="009B654D">
        <w:rPr>
          <w:rFonts w:eastAsia="Calibri"/>
        </w:rPr>
        <w:t xml:space="preserve">The effects of the </w:t>
      </w:r>
      <w:r w:rsidR="004F02DF">
        <w:rPr>
          <w:rFonts w:eastAsia="Calibri"/>
        </w:rPr>
        <w:t>two</w:t>
      </w:r>
      <w:r w:rsidRPr="009B654D">
        <w:rPr>
          <w:rFonts w:eastAsia="Calibri"/>
        </w:rPr>
        <w:t xml:space="preserve"> recycling schemes on carbon emissions</w:t>
      </w:r>
    </w:p>
    <w:p w14:paraId="613C2668" w14:textId="77777777" w:rsidR="00E37FFB" w:rsidRPr="009B654D" w:rsidRDefault="00E37FFB" w:rsidP="00E37FFB">
      <w:pPr>
        <w:spacing w:after="0"/>
        <w:rPr>
          <w:rFonts w:eastAsia="Calibri" w:cs="Times New Roman"/>
        </w:rPr>
      </w:pPr>
      <w:r w:rsidRPr="009B654D">
        <w:rPr>
          <w:rFonts w:eastAsia="Calibri" w:cs="Times New Roman"/>
        </w:rPr>
        <w:t xml:space="preserve">In Figure </w:t>
      </w:r>
      <w:r w:rsidR="00BC30CC">
        <w:rPr>
          <w:rFonts w:eastAsia="Calibri" w:cs="Times New Roman"/>
        </w:rPr>
        <w:t>7</w:t>
      </w:r>
      <w:r w:rsidRPr="009B654D">
        <w:rPr>
          <w:rFonts w:eastAsia="Calibri" w:cs="Times New Roman"/>
        </w:rPr>
        <w:t xml:space="preserve"> the effects of recycling are shown on real GDP growth, relative to the baseline.  Although it is important to have a feel for the general effects of recycling schemes, we are particularly interested in this study on the “negative” effects of the recycling schemes on carbon emissions, i.e. mitigating the effect of the tax without recycling and hence suppressing the deviation in CO</w:t>
      </w:r>
      <w:r w:rsidRPr="009B654D">
        <w:rPr>
          <w:rFonts w:eastAsia="Calibri" w:cs="Times New Roman"/>
          <w:vertAlign w:val="subscript"/>
        </w:rPr>
        <w:t>2</w:t>
      </w:r>
      <w:r w:rsidRPr="009B654D">
        <w:rPr>
          <w:rFonts w:eastAsia="Calibri" w:cs="Times New Roman"/>
        </w:rPr>
        <w:t xml:space="preserve"> reduction from the baseline as reported on earlier.  The carbon tax does very well, as seen above, to curb emissions, but when we recycle the revenue, the economy is stimulated again and production in some industries increases.  </w:t>
      </w:r>
    </w:p>
    <w:p w14:paraId="5B9A409E" w14:textId="77777777" w:rsidR="00E37FFB" w:rsidRPr="009B654D" w:rsidRDefault="00E37FFB" w:rsidP="00E37FFB">
      <w:pPr>
        <w:spacing w:after="0"/>
        <w:rPr>
          <w:rFonts w:eastAsia="Calibri" w:cs="Times New Roman"/>
        </w:rPr>
      </w:pPr>
    </w:p>
    <w:p w14:paraId="47ADC943" w14:textId="77777777" w:rsidR="00E37FFB" w:rsidRPr="009B654D" w:rsidRDefault="00E37FFB" w:rsidP="00E37FFB">
      <w:pPr>
        <w:spacing w:after="0"/>
        <w:rPr>
          <w:rFonts w:eastAsia="Calibri" w:cs="Times New Roman"/>
        </w:rPr>
      </w:pPr>
      <w:r w:rsidRPr="009B654D">
        <w:rPr>
          <w:rFonts w:eastAsia="Calibri" w:cs="Times New Roman"/>
        </w:rPr>
        <w:t>Just like the more general recycling schemes would affect GDP more than specific taxes levied on a small tax base, we would expect that they would also affect CO</w:t>
      </w:r>
      <w:r w:rsidRPr="009B654D">
        <w:rPr>
          <w:rFonts w:eastAsia="Calibri" w:cs="Times New Roman"/>
          <w:vertAlign w:val="subscript"/>
        </w:rPr>
        <w:t>2</w:t>
      </w:r>
      <w:r w:rsidRPr="009B654D">
        <w:rPr>
          <w:rFonts w:eastAsia="Calibri" w:cs="Times New Roman"/>
        </w:rPr>
        <w:t xml:space="preserve"> emissions more.  Recycling the tax revenue to industries that generate </w:t>
      </w:r>
      <w:r>
        <w:rPr>
          <w:rFonts w:eastAsia="Calibri" w:cs="Times New Roman"/>
        </w:rPr>
        <w:t>low carbon</w:t>
      </w:r>
      <w:r w:rsidRPr="009B654D">
        <w:rPr>
          <w:rFonts w:eastAsia="Calibri" w:cs="Times New Roman"/>
        </w:rPr>
        <w:t xml:space="preserve"> electricity should not undo the good effects of the tax on carbon emissions, while a general stimulation of the economy should have a much larger effect.  We see exactly this happening in Figure </w:t>
      </w:r>
      <w:r w:rsidR="00BC30CC">
        <w:rPr>
          <w:rFonts w:eastAsia="Calibri" w:cs="Times New Roman"/>
        </w:rPr>
        <w:t>8</w:t>
      </w:r>
      <w:r w:rsidRPr="009B654D">
        <w:rPr>
          <w:rFonts w:eastAsia="Calibri" w:cs="Times New Roman"/>
        </w:rPr>
        <w:t>.</w:t>
      </w:r>
    </w:p>
    <w:p w14:paraId="710EDD56" w14:textId="77777777" w:rsidR="00E37FFB" w:rsidRPr="009B654D" w:rsidRDefault="00E37FFB" w:rsidP="00E37FFB">
      <w:pPr>
        <w:spacing w:after="0"/>
        <w:rPr>
          <w:rFonts w:eastAsia="Calibri" w:cs="Times New Roman"/>
        </w:rPr>
      </w:pPr>
      <w:bookmarkStart w:id="31" w:name="_Ref394807850"/>
    </w:p>
    <w:p w14:paraId="624E2FD1" w14:textId="5E1C87F4" w:rsidR="00E37FFB" w:rsidRPr="009B654D" w:rsidRDefault="00E37FFB" w:rsidP="00E37FFB">
      <w:pPr>
        <w:spacing w:after="0"/>
        <w:rPr>
          <w:rFonts w:eastAsia="Calibri" w:cs="Times New Roman"/>
          <w:b/>
          <w:bCs/>
        </w:rPr>
      </w:pPr>
      <w:r w:rsidRPr="009B654D">
        <w:rPr>
          <w:rFonts w:eastAsia="Calibri" w:cs="Times New Roman"/>
        </w:rPr>
        <w:t>With no recycling of tax revenue</w:t>
      </w:r>
      <w:r>
        <w:rPr>
          <w:rFonts w:eastAsia="Calibri" w:cs="Times New Roman"/>
        </w:rPr>
        <w:t>,</w:t>
      </w:r>
      <w:r w:rsidRPr="009B654D">
        <w:rPr>
          <w:rFonts w:eastAsia="Calibri" w:cs="Times New Roman"/>
        </w:rPr>
        <w:t xml:space="preserve"> the total level of carbon emissions ends up </w:t>
      </w:r>
      <w:r w:rsidR="004F02DF">
        <w:rPr>
          <w:rFonts w:eastAsia="Calibri" w:cs="Times New Roman"/>
        </w:rPr>
        <w:t>50.1</w:t>
      </w:r>
      <w:r w:rsidRPr="009B654D">
        <w:rPr>
          <w:rFonts w:eastAsia="Calibri" w:cs="Times New Roman"/>
        </w:rPr>
        <w:t xml:space="preserve"> per cent below the baseline level, while recycling through a general tax on production decreases this effect to </w:t>
      </w:r>
      <w:r w:rsidR="004F02DF">
        <w:rPr>
          <w:rFonts w:eastAsia="Calibri" w:cs="Times New Roman"/>
        </w:rPr>
        <w:t>40.7</w:t>
      </w:r>
      <w:r w:rsidRPr="009B654D">
        <w:rPr>
          <w:rFonts w:eastAsia="Calibri" w:cs="Times New Roman"/>
        </w:rPr>
        <w:t xml:space="preserve"> per cent below</w:t>
      </w:r>
      <w:r w:rsidR="00BC30CC">
        <w:rPr>
          <w:rFonts w:eastAsia="Calibri" w:cs="Times New Roman"/>
        </w:rPr>
        <w:t xml:space="preserve"> base</w:t>
      </w:r>
      <w:r w:rsidR="004F02DF">
        <w:rPr>
          <w:rFonts w:eastAsia="Calibri" w:cs="Times New Roman"/>
        </w:rPr>
        <w:t>.</w:t>
      </w:r>
      <w:r w:rsidRPr="009B654D">
        <w:rPr>
          <w:rFonts w:eastAsia="Calibri" w:cs="Times New Roman"/>
        </w:rPr>
        <w:t xml:space="preserve">  Recycling the revenue through a subsidy on green </w:t>
      </w:r>
      <w:r>
        <w:rPr>
          <w:rFonts w:eastAsia="Calibri" w:cs="Times New Roman"/>
        </w:rPr>
        <w:t xml:space="preserve">electricity </w:t>
      </w:r>
      <w:r w:rsidRPr="009B654D">
        <w:rPr>
          <w:rFonts w:eastAsia="Calibri" w:cs="Times New Roman"/>
        </w:rPr>
        <w:t>generation maintains the initial positive result by changing emissions only slightly</w:t>
      </w:r>
      <w:r>
        <w:rPr>
          <w:rFonts w:eastAsia="Calibri" w:cs="Times New Roman"/>
        </w:rPr>
        <w:t>,</w:t>
      </w:r>
      <w:r w:rsidRPr="009B654D">
        <w:rPr>
          <w:rFonts w:eastAsia="Calibri" w:cs="Times New Roman"/>
        </w:rPr>
        <w:t xml:space="preserve"> to </w:t>
      </w:r>
      <w:r w:rsidR="004F02DF">
        <w:rPr>
          <w:rFonts w:eastAsia="Calibri" w:cs="Times New Roman"/>
        </w:rPr>
        <w:t>52.5</w:t>
      </w:r>
      <w:r w:rsidRPr="009B654D">
        <w:rPr>
          <w:rFonts w:eastAsia="Calibri" w:cs="Times New Roman"/>
        </w:rPr>
        <w:t xml:space="preserve"> per cent below the baseline.  </w:t>
      </w:r>
    </w:p>
    <w:p w14:paraId="6C8D3D44" w14:textId="77777777" w:rsidR="00E37FFB" w:rsidRPr="009B654D" w:rsidRDefault="00E37FFB" w:rsidP="00E37FFB">
      <w:pPr>
        <w:spacing w:after="0"/>
        <w:rPr>
          <w:rFonts w:eastAsia="Calibri" w:cs="Times New Roman"/>
          <w:b/>
          <w:bCs/>
        </w:rPr>
      </w:pPr>
      <w:bookmarkStart w:id="32" w:name="_Toc394850378"/>
    </w:p>
    <w:p w14:paraId="61CA30D5" w14:textId="77777777" w:rsidR="00335874" w:rsidRDefault="00335874">
      <w:pPr>
        <w:jc w:val="left"/>
        <w:rPr>
          <w:rFonts w:eastAsia="Calibri" w:cs="Times New Roman"/>
          <w:b/>
          <w:bCs/>
        </w:rPr>
      </w:pPr>
      <w:bookmarkStart w:id="33" w:name="_Ref394980017"/>
      <w:r>
        <w:rPr>
          <w:rFonts w:eastAsia="Calibri" w:cs="Times New Roman"/>
          <w:b/>
          <w:bCs/>
        </w:rPr>
        <w:br w:type="page"/>
      </w:r>
    </w:p>
    <w:p w14:paraId="01743977" w14:textId="0F7DA25B" w:rsidR="00E37FFB" w:rsidRPr="009B654D" w:rsidRDefault="00E37FFB" w:rsidP="00E37FFB">
      <w:pPr>
        <w:spacing w:after="0"/>
        <w:ind w:left="1134" w:hanging="1134"/>
        <w:rPr>
          <w:rFonts w:eastAsia="Calibri" w:cs="Times New Roman"/>
          <w:b/>
          <w:bCs/>
        </w:rPr>
      </w:pPr>
      <w:r w:rsidRPr="009B654D">
        <w:rPr>
          <w:rFonts w:eastAsia="Calibri" w:cs="Times New Roman"/>
          <w:b/>
          <w:bCs/>
        </w:rPr>
        <w:lastRenderedPageBreak/>
        <w:t xml:space="preserve">Figure </w:t>
      </w:r>
      <w:bookmarkEnd w:id="31"/>
      <w:bookmarkEnd w:id="33"/>
      <w:r w:rsidR="00BC30CC">
        <w:rPr>
          <w:rFonts w:eastAsia="Calibri" w:cs="Times New Roman"/>
          <w:b/>
          <w:bCs/>
        </w:rPr>
        <w:t>8</w:t>
      </w:r>
      <w:r w:rsidRPr="009B654D">
        <w:rPr>
          <w:rFonts w:eastAsia="Calibri" w:cs="Times New Roman"/>
          <w:b/>
          <w:bCs/>
        </w:rPr>
        <w:t>:</w:t>
      </w:r>
      <w:r w:rsidRPr="009B654D">
        <w:rPr>
          <w:rFonts w:eastAsia="Calibri" w:cs="Times New Roman"/>
          <w:b/>
          <w:bCs/>
        </w:rPr>
        <w:tab/>
        <w:t>Cumulative percentage change in carbon emissions of the no-recycling scenarios compared to three recycling scenarios (deviations from the baseline)</w:t>
      </w:r>
      <w:bookmarkEnd w:id="32"/>
    </w:p>
    <w:p w14:paraId="62CD4319" w14:textId="77777777" w:rsidR="00E37FFB" w:rsidRPr="009B654D" w:rsidRDefault="00321DB4" w:rsidP="00E37FFB">
      <w:pPr>
        <w:spacing w:after="0"/>
        <w:rPr>
          <w:rFonts w:eastAsia="Calibri" w:cs="Times New Roman"/>
        </w:rPr>
      </w:pPr>
      <w:r>
        <w:rPr>
          <w:noProof/>
          <w:lang w:eastAsia="en-ZA"/>
        </w:rPr>
        <w:drawing>
          <wp:inline distT="0" distB="0" distL="0" distR="0" wp14:anchorId="4F5CDBF3" wp14:editId="386ED2AB">
            <wp:extent cx="5018227" cy="2816352"/>
            <wp:effectExtent l="0" t="0" r="11430" b="222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94111D" w14:textId="77777777" w:rsidR="00E37FFB" w:rsidRPr="009B654D" w:rsidRDefault="00E37FFB" w:rsidP="00E37FFB">
      <w:pPr>
        <w:spacing w:after="0"/>
        <w:rPr>
          <w:rFonts w:eastAsia="Calibri" w:cs="Times New Roman"/>
        </w:rPr>
      </w:pPr>
    </w:p>
    <w:p w14:paraId="06617495" w14:textId="77777777" w:rsidR="00E37FFB" w:rsidRPr="009B654D" w:rsidRDefault="00E37FFB" w:rsidP="00E37FFB">
      <w:pPr>
        <w:pStyle w:val="Heading4"/>
        <w:rPr>
          <w:rFonts w:eastAsia="Calibri"/>
        </w:rPr>
      </w:pPr>
      <w:r w:rsidRPr="009B654D">
        <w:rPr>
          <w:rFonts w:eastAsia="Calibri"/>
        </w:rPr>
        <w:t>The effects of the various recycling schemes on green electricity generation</w:t>
      </w:r>
    </w:p>
    <w:p w14:paraId="63C23318" w14:textId="7066EF7D" w:rsidR="00E37FFB" w:rsidRPr="009B654D" w:rsidRDefault="00E37FFB" w:rsidP="00E37FFB">
      <w:pPr>
        <w:spacing w:after="0"/>
        <w:rPr>
          <w:rFonts w:eastAsia="Calibri" w:cs="Times New Roman"/>
        </w:rPr>
      </w:pPr>
      <w:r w:rsidRPr="009B654D">
        <w:rPr>
          <w:rFonts w:eastAsia="Calibri" w:cs="Times New Roman"/>
        </w:rPr>
        <w:t>The penultimate effect that we would like to highlight in this section is the effect of recycling tax revenue on the production levels of green</w:t>
      </w:r>
      <w:r w:rsidR="008A5C7E">
        <w:rPr>
          <w:rFonts w:eastAsia="Calibri" w:cs="Times New Roman"/>
        </w:rPr>
        <w:t>, or renewable,</w:t>
      </w:r>
      <w:r w:rsidRPr="009B654D">
        <w:rPr>
          <w:rFonts w:eastAsia="Calibri" w:cs="Times New Roman"/>
        </w:rPr>
        <w:t xml:space="preserve"> electricity.  In Figure </w:t>
      </w:r>
      <w:r w:rsidR="00BC30CC">
        <w:rPr>
          <w:rFonts w:eastAsia="Calibri" w:cs="Times New Roman"/>
        </w:rPr>
        <w:t>9</w:t>
      </w:r>
      <w:r w:rsidRPr="009B654D">
        <w:rPr>
          <w:rFonts w:eastAsia="Calibri" w:cs="Times New Roman"/>
        </w:rPr>
        <w:t xml:space="preserve"> we show the increase in the level of production of Solar PV electricity above the baseline when we (i) levy a carbon tax but do not recycle the revenue (bottom line) and (ii) when we recycle the revenue through a subsidy on green electricity production.  All the other recycling scenarios have very small effects on green generation – so small that the lines lie close to or on top of the no recycling line.  The effects of this recycling scenario are enormous on green generation: without recycling the tax revenue Solar PV generation grows by </w:t>
      </w:r>
      <w:r w:rsidR="004F02DF">
        <w:rPr>
          <w:rFonts w:eastAsia="Calibri" w:cs="Times New Roman"/>
        </w:rPr>
        <w:t>291</w:t>
      </w:r>
      <w:r w:rsidRPr="009B654D">
        <w:rPr>
          <w:rFonts w:eastAsia="Calibri" w:cs="Times New Roman"/>
        </w:rPr>
        <w:t xml:space="preserve"> per cent above the baseline, while with the subsidy on this section of industries, the output of Solar PV grows by 376 per cent.  The other green generators look very similar. </w:t>
      </w:r>
    </w:p>
    <w:p w14:paraId="2C2F1E0D" w14:textId="77777777" w:rsidR="00E37FFB" w:rsidRPr="009B654D" w:rsidRDefault="00E37FFB" w:rsidP="00E37FFB">
      <w:pPr>
        <w:spacing w:after="0"/>
        <w:rPr>
          <w:rFonts w:eastAsia="Calibri" w:cs="Times New Roman"/>
          <w:b/>
          <w:bCs/>
        </w:rPr>
      </w:pPr>
      <w:bookmarkStart w:id="34" w:name="_Ref394810206"/>
    </w:p>
    <w:p w14:paraId="26A095A4" w14:textId="77777777" w:rsidR="00E37FFB" w:rsidRPr="009B654D" w:rsidRDefault="00E37FFB" w:rsidP="00E37FFB">
      <w:pPr>
        <w:spacing w:after="0"/>
        <w:ind w:left="1134" w:hanging="1134"/>
        <w:rPr>
          <w:rFonts w:eastAsia="Calibri" w:cs="Times New Roman"/>
          <w:b/>
          <w:bCs/>
        </w:rPr>
      </w:pPr>
      <w:bookmarkStart w:id="35" w:name="_Ref394980093"/>
      <w:bookmarkStart w:id="36" w:name="_Toc394850379"/>
      <w:r w:rsidRPr="009B654D">
        <w:rPr>
          <w:rFonts w:eastAsia="Calibri" w:cs="Times New Roman"/>
          <w:b/>
          <w:bCs/>
        </w:rPr>
        <w:t xml:space="preserve">Figure </w:t>
      </w:r>
      <w:bookmarkEnd w:id="34"/>
      <w:bookmarkEnd w:id="35"/>
      <w:r w:rsidR="00BC30CC">
        <w:rPr>
          <w:rFonts w:eastAsia="Calibri" w:cs="Times New Roman"/>
          <w:b/>
          <w:bCs/>
        </w:rPr>
        <w:t>9</w:t>
      </w:r>
      <w:r w:rsidRPr="009B654D">
        <w:rPr>
          <w:rFonts w:eastAsia="Calibri" w:cs="Times New Roman"/>
          <w:b/>
          <w:bCs/>
        </w:rPr>
        <w:t>:</w:t>
      </w:r>
      <w:r w:rsidRPr="009B654D">
        <w:rPr>
          <w:rFonts w:eastAsia="Calibri" w:cs="Times New Roman"/>
          <w:b/>
          <w:bCs/>
        </w:rPr>
        <w:tab/>
        <w:t>The effects of recycling carbon tax revenue through a production subsidy on the production of all green electricity generators</w:t>
      </w:r>
      <w:bookmarkEnd w:id="36"/>
    </w:p>
    <w:p w14:paraId="799981E7" w14:textId="77777777" w:rsidR="00E37FFB" w:rsidRPr="009B654D" w:rsidRDefault="002759B7" w:rsidP="00E37FFB">
      <w:pPr>
        <w:spacing w:after="0"/>
        <w:rPr>
          <w:rFonts w:eastAsia="Calibri" w:cs="Times New Roman"/>
        </w:rPr>
      </w:pPr>
      <w:r>
        <w:rPr>
          <w:noProof/>
          <w:lang w:eastAsia="en-ZA"/>
        </w:rPr>
        <w:drawing>
          <wp:inline distT="0" distB="0" distL="0" distR="0" wp14:anchorId="0E94B859" wp14:editId="7A70FA15">
            <wp:extent cx="5010150" cy="24193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196625" w14:textId="77777777" w:rsidR="00E37FFB" w:rsidRPr="009B654D" w:rsidRDefault="00E37FFB" w:rsidP="00E37FFB">
      <w:pPr>
        <w:spacing w:after="0"/>
        <w:rPr>
          <w:rFonts w:eastAsia="Calibri" w:cs="Times New Roman"/>
        </w:rPr>
      </w:pPr>
    </w:p>
    <w:p w14:paraId="16704A39" w14:textId="77777777" w:rsidR="00E37FFB" w:rsidRPr="009B654D" w:rsidRDefault="00E37FFB" w:rsidP="00E37FFB">
      <w:pPr>
        <w:pStyle w:val="Heading4"/>
        <w:rPr>
          <w:rFonts w:eastAsia="Calibri"/>
        </w:rPr>
      </w:pPr>
      <w:r w:rsidRPr="009B654D">
        <w:rPr>
          <w:rFonts w:eastAsia="Calibri"/>
        </w:rPr>
        <w:lastRenderedPageBreak/>
        <w:t>Impact of taxes on the Iron and Steel industry, with and without recycling</w:t>
      </w:r>
    </w:p>
    <w:p w14:paraId="6CDC29B2" w14:textId="27C1FED5" w:rsidR="00E37FFB" w:rsidRPr="009B654D" w:rsidRDefault="00E37FFB" w:rsidP="00E37FFB">
      <w:pPr>
        <w:spacing w:after="0"/>
        <w:rPr>
          <w:rFonts w:eastAsia="Calibri" w:cs="Times New Roman"/>
        </w:rPr>
      </w:pPr>
      <w:r w:rsidRPr="009B654D">
        <w:rPr>
          <w:rFonts w:eastAsia="Calibri" w:cs="Times New Roman"/>
        </w:rPr>
        <w:t xml:space="preserve">The last set of impacts that we would like to highlight in this section is the effect of the various recycling schemes on the </w:t>
      </w:r>
      <w:r>
        <w:rPr>
          <w:rFonts w:eastAsia="Calibri" w:cs="Times New Roman"/>
        </w:rPr>
        <w:t xml:space="preserve">Iron and Steel </w:t>
      </w:r>
      <w:r w:rsidRPr="009B654D">
        <w:rPr>
          <w:rFonts w:eastAsia="Calibri" w:cs="Times New Roman"/>
        </w:rPr>
        <w:t xml:space="preserve">industry.  The tax with all the exemptions </w:t>
      </w:r>
      <w:r w:rsidR="003C21CE">
        <w:rPr>
          <w:rFonts w:eastAsia="Calibri" w:cs="Times New Roman"/>
        </w:rPr>
        <w:t>phased out</w:t>
      </w:r>
      <w:r w:rsidRPr="009B654D">
        <w:rPr>
          <w:rFonts w:eastAsia="Calibri" w:cs="Times New Roman"/>
        </w:rPr>
        <w:t xml:space="preserve"> over the forecast period causes the industry to decline by </w:t>
      </w:r>
      <w:r w:rsidR="003C21CE">
        <w:rPr>
          <w:rFonts w:eastAsia="Calibri" w:cs="Times New Roman"/>
        </w:rPr>
        <w:t>39.5</w:t>
      </w:r>
      <w:r w:rsidRPr="009B654D">
        <w:rPr>
          <w:rFonts w:eastAsia="Calibri" w:cs="Times New Roman"/>
        </w:rPr>
        <w:t xml:space="preserve"> per cent in 2035, but if the tax revenue is recycled through a general subsidy on all production in the economy, the impact is </w:t>
      </w:r>
      <w:r w:rsidR="003C21CE">
        <w:rPr>
          <w:rFonts w:eastAsia="Calibri" w:cs="Times New Roman"/>
        </w:rPr>
        <w:t>significantly reduced</w:t>
      </w:r>
      <w:r w:rsidRPr="009B654D">
        <w:rPr>
          <w:rFonts w:eastAsia="Calibri" w:cs="Times New Roman"/>
        </w:rPr>
        <w:t xml:space="preserve"> to </w:t>
      </w:r>
      <w:r w:rsidR="003C21CE">
        <w:rPr>
          <w:rFonts w:eastAsia="Calibri" w:cs="Times New Roman"/>
        </w:rPr>
        <w:t>24</w:t>
      </w:r>
      <w:r w:rsidRPr="009B654D">
        <w:rPr>
          <w:rFonts w:eastAsia="Calibri" w:cs="Times New Roman"/>
        </w:rPr>
        <w:t>.2 per cent (</w:t>
      </w:r>
      <w:r w:rsidR="003C21CE">
        <w:rPr>
          <w:rFonts w:eastAsia="Calibri" w:cs="Times New Roman"/>
        </w:rPr>
        <w:t>green</w:t>
      </w:r>
      <w:r w:rsidRPr="009B654D">
        <w:rPr>
          <w:rFonts w:eastAsia="Calibri" w:cs="Times New Roman"/>
        </w:rPr>
        <w:t xml:space="preserve"> line in Figure </w:t>
      </w:r>
      <w:r w:rsidR="00BC30CC">
        <w:rPr>
          <w:rFonts w:eastAsia="Calibri" w:cs="Times New Roman"/>
        </w:rPr>
        <w:t>10</w:t>
      </w:r>
      <w:r w:rsidRPr="009B654D">
        <w:rPr>
          <w:rFonts w:eastAsia="Calibri" w:cs="Times New Roman"/>
        </w:rPr>
        <w:t xml:space="preserve">).  An insightful result is that when recycling takes place through a production subsidy on green generators, the Iron and Steel industry </w:t>
      </w:r>
      <w:r w:rsidR="003C21CE">
        <w:rPr>
          <w:rFonts w:eastAsia="Calibri" w:cs="Times New Roman"/>
        </w:rPr>
        <w:t>is still severely affected by the tax</w:t>
      </w:r>
      <w:r w:rsidRPr="009B654D">
        <w:rPr>
          <w:rFonts w:eastAsia="Calibri" w:cs="Times New Roman"/>
        </w:rPr>
        <w:t xml:space="preserve"> (purple line).  Iron and Steel is electricity intensive and the whole sector becomes much more expensive with the implementation of the tax.  </w:t>
      </w:r>
    </w:p>
    <w:p w14:paraId="55388C52" w14:textId="77777777" w:rsidR="00D369EE" w:rsidRDefault="00D369EE" w:rsidP="00E37FFB">
      <w:pPr>
        <w:spacing w:after="0"/>
        <w:ind w:left="1134" w:hanging="1134"/>
        <w:rPr>
          <w:rFonts w:eastAsia="Calibri" w:cs="Times New Roman"/>
          <w:b/>
          <w:bCs/>
        </w:rPr>
      </w:pPr>
      <w:bookmarkStart w:id="37" w:name="_Ref394978544"/>
    </w:p>
    <w:p w14:paraId="756C0CF6" w14:textId="585A0586" w:rsidR="00E37FFB" w:rsidRPr="009B654D" w:rsidRDefault="00E37FFB" w:rsidP="00E37FFB">
      <w:pPr>
        <w:spacing w:after="0"/>
        <w:ind w:left="1134" w:hanging="1134"/>
        <w:rPr>
          <w:rFonts w:eastAsia="Calibri" w:cs="Times New Roman"/>
          <w:b/>
          <w:bCs/>
        </w:rPr>
      </w:pPr>
      <w:r w:rsidRPr="009B654D">
        <w:rPr>
          <w:rFonts w:eastAsia="Calibri" w:cs="Times New Roman"/>
          <w:b/>
          <w:bCs/>
        </w:rPr>
        <w:t xml:space="preserve">Figure </w:t>
      </w:r>
      <w:bookmarkEnd w:id="37"/>
      <w:r w:rsidR="00D369EE">
        <w:rPr>
          <w:rFonts w:eastAsia="Calibri" w:cs="Times New Roman"/>
          <w:b/>
          <w:bCs/>
        </w:rPr>
        <w:t>10</w:t>
      </w:r>
      <w:r w:rsidRPr="009B654D">
        <w:rPr>
          <w:rFonts w:eastAsia="Calibri" w:cs="Times New Roman"/>
          <w:b/>
          <w:bCs/>
        </w:rPr>
        <w:t>:</w:t>
      </w:r>
      <w:r w:rsidRPr="009B654D">
        <w:rPr>
          <w:rFonts w:eastAsia="Calibri" w:cs="Times New Roman"/>
          <w:b/>
          <w:bCs/>
        </w:rPr>
        <w:tab/>
        <w:t>Per cent change in Iron and Steel production with the fuel input tax and various recycling options (all tax exemptions in place) (deviation from baseline)</w:t>
      </w:r>
    </w:p>
    <w:p w14:paraId="4D3A3E24" w14:textId="77777777" w:rsidR="00E37FFB" w:rsidRPr="009B654D" w:rsidRDefault="002759B7" w:rsidP="00E37FFB">
      <w:pPr>
        <w:spacing w:after="0"/>
        <w:rPr>
          <w:rFonts w:eastAsia="Calibri" w:cs="Times New Roman"/>
        </w:rPr>
      </w:pPr>
      <w:r>
        <w:rPr>
          <w:noProof/>
          <w:lang w:eastAsia="en-ZA"/>
        </w:rPr>
        <w:drawing>
          <wp:inline distT="0" distB="0" distL="0" distR="0" wp14:anchorId="5B36E9F8" wp14:editId="64BAB020">
            <wp:extent cx="5086350" cy="2901950"/>
            <wp:effectExtent l="0" t="0" r="1905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6EBFD2" w14:textId="77777777" w:rsidR="00E37FFB" w:rsidRPr="009B654D" w:rsidRDefault="00E37FFB" w:rsidP="00E37FFB">
      <w:pPr>
        <w:spacing w:after="0"/>
        <w:rPr>
          <w:rFonts w:eastAsia="Calibri" w:cs="Times New Roman"/>
        </w:rPr>
      </w:pPr>
    </w:p>
    <w:p w14:paraId="599A5E67" w14:textId="36E6349D" w:rsidR="004874BF" w:rsidRPr="00E65E88" w:rsidRDefault="004874BF" w:rsidP="00757E1F">
      <w:pPr>
        <w:pStyle w:val="Heading1"/>
        <w:numPr>
          <w:ilvl w:val="0"/>
          <w:numId w:val="24"/>
        </w:numPr>
      </w:pPr>
      <w:r w:rsidRPr="00E65E88">
        <w:t>Conclusion and Policy Recommendation</w:t>
      </w:r>
      <w:r w:rsidR="00803ECB">
        <w:t>s</w:t>
      </w:r>
    </w:p>
    <w:p w14:paraId="12246A77" w14:textId="77777777" w:rsidR="004874BF" w:rsidRDefault="004874BF" w:rsidP="004874BF">
      <w:pPr>
        <w:spacing w:line="360" w:lineRule="auto"/>
        <w:rPr>
          <w:rFonts w:ascii="Arial" w:hAnsi="Arial"/>
        </w:rPr>
      </w:pPr>
    </w:p>
    <w:p w14:paraId="1A1510EE" w14:textId="77777777" w:rsidR="00FB5A3D" w:rsidRDefault="00FB5A3D" w:rsidP="00BD140C">
      <w:pPr>
        <w:spacing w:line="360" w:lineRule="auto"/>
      </w:pPr>
      <w:r>
        <w:t>Here we used a 53-sector dynamic computable general equilibrium (CGE) model developed by the University of Pretoria, Department of Economics to model the impacts of the national Treasury’s proposed carbon tax which equates to R120/tCO</w:t>
      </w:r>
      <w:r>
        <w:rPr>
          <w:vertAlign w:val="subscript"/>
        </w:rPr>
        <w:t>2</w:t>
      </w:r>
      <w:r>
        <w:t xml:space="preserve">-equiv. subject to a set of sector-specific exemptions. </w:t>
      </w:r>
    </w:p>
    <w:p w14:paraId="2020EAEA" w14:textId="4D01743C" w:rsidR="00FB5A3D" w:rsidRPr="002525AB" w:rsidRDefault="00FB5A3D" w:rsidP="00BD140C">
      <w:pPr>
        <w:spacing w:after="160" w:line="360" w:lineRule="auto"/>
        <w:rPr>
          <w:rFonts w:cstheme="minorHAnsi"/>
        </w:rPr>
      </w:pPr>
      <w:r w:rsidRPr="00535ECE">
        <w:t xml:space="preserve">Baseline emissions </w:t>
      </w:r>
      <w:r w:rsidRPr="00535ECE">
        <w:rPr>
          <w:rFonts w:cstheme="minorHAnsi"/>
        </w:rPr>
        <w:t>rise from 564MtCO</w:t>
      </w:r>
      <w:r w:rsidRPr="00535ECE">
        <w:rPr>
          <w:rFonts w:cstheme="minorHAnsi"/>
          <w:vertAlign w:val="subscript"/>
        </w:rPr>
        <w:t>2</w:t>
      </w:r>
      <w:r w:rsidRPr="00535ECE">
        <w:rPr>
          <w:rFonts w:cstheme="minorHAnsi"/>
        </w:rPr>
        <w:t xml:space="preserve">-equiv. </w:t>
      </w:r>
      <w:r>
        <w:rPr>
          <w:rFonts w:cstheme="minorHAnsi"/>
        </w:rPr>
        <w:t>for</w:t>
      </w:r>
      <w:r w:rsidRPr="00535ECE">
        <w:rPr>
          <w:rFonts w:cstheme="minorHAnsi"/>
        </w:rPr>
        <w:t xml:space="preserve"> 2011 to 1,236MtCO</w:t>
      </w:r>
      <w:r w:rsidRPr="00535ECE">
        <w:rPr>
          <w:rFonts w:cstheme="minorHAnsi"/>
          <w:vertAlign w:val="subscript"/>
        </w:rPr>
        <w:t>2</w:t>
      </w:r>
      <w:r w:rsidRPr="00535ECE">
        <w:rPr>
          <w:rFonts w:cstheme="minorHAnsi"/>
        </w:rPr>
        <w:t xml:space="preserve">-equiv. </w:t>
      </w:r>
      <w:r>
        <w:rPr>
          <w:rFonts w:cstheme="minorHAnsi"/>
        </w:rPr>
        <w:t>for</w:t>
      </w:r>
      <w:r w:rsidRPr="00535ECE">
        <w:rPr>
          <w:rFonts w:cstheme="minorHAnsi"/>
        </w:rPr>
        <w:t xml:space="preserve"> 2035 – an increase of 672Mt over the baseline period.  </w:t>
      </w:r>
      <w:r>
        <w:rPr>
          <w:rFonts w:cstheme="minorHAnsi"/>
        </w:rPr>
        <w:t xml:space="preserve">Introducing the tax caused a reduction </w:t>
      </w:r>
      <w:r w:rsidRPr="00535ECE">
        <w:rPr>
          <w:rFonts w:cstheme="minorHAnsi"/>
        </w:rPr>
        <w:t>in CO</w:t>
      </w:r>
      <w:r w:rsidRPr="00535ECE">
        <w:rPr>
          <w:rFonts w:cstheme="minorHAnsi"/>
          <w:vertAlign w:val="subscript"/>
        </w:rPr>
        <w:t>2</w:t>
      </w:r>
      <w:r w:rsidRPr="00535ECE">
        <w:rPr>
          <w:rFonts w:cstheme="minorHAnsi"/>
        </w:rPr>
        <w:t>-emission growth by between 35 and 44 percent under different scenarios.  These scenarios imply a cumulative reduction of between 1,900MtCO</w:t>
      </w:r>
      <w:bookmarkStart w:id="38" w:name="_GoBack"/>
      <w:bookmarkEnd w:id="38"/>
      <w:r w:rsidRPr="00535ECE">
        <w:rPr>
          <w:rFonts w:cstheme="minorHAnsi"/>
          <w:vertAlign w:val="subscript"/>
        </w:rPr>
        <w:t>2</w:t>
      </w:r>
      <w:r w:rsidRPr="00535ECE">
        <w:rPr>
          <w:rFonts w:cstheme="minorHAnsi"/>
        </w:rPr>
        <w:t>-equiv. and 2,300MtCO</w:t>
      </w:r>
      <w:r w:rsidRPr="00535ECE">
        <w:rPr>
          <w:rFonts w:cstheme="minorHAnsi"/>
          <w:vertAlign w:val="subscript"/>
        </w:rPr>
        <w:t>2</w:t>
      </w:r>
      <w:r w:rsidRPr="00535ECE">
        <w:rPr>
          <w:rFonts w:cstheme="minorHAnsi"/>
        </w:rPr>
        <w:t xml:space="preserve">-equiv. relative to the baseline over the 2011-2035 modelling </w:t>
      </w:r>
      <w:r w:rsidRPr="002525AB">
        <w:rPr>
          <w:rFonts w:cstheme="minorHAnsi"/>
        </w:rPr>
        <w:t>period, with the single biggest (annual) reduction of between 190 and 250MtCO</w:t>
      </w:r>
      <w:r w:rsidRPr="002525AB">
        <w:rPr>
          <w:rFonts w:cstheme="minorHAnsi"/>
          <w:vertAlign w:val="subscript"/>
        </w:rPr>
        <w:t>2</w:t>
      </w:r>
      <w:r w:rsidRPr="002525AB">
        <w:rPr>
          <w:rFonts w:cstheme="minorHAnsi"/>
        </w:rPr>
        <w:t xml:space="preserve">-equiv being in 2035. </w:t>
      </w:r>
      <w:r w:rsidRPr="002525AB">
        <w:rPr>
          <w:rFonts w:cstheme="minorHAnsi"/>
          <w:b/>
        </w:rPr>
        <w:t xml:space="preserve"> </w:t>
      </w:r>
      <w:r w:rsidR="00803ECB" w:rsidRPr="002525AB">
        <w:rPr>
          <w:rFonts w:cstheme="minorHAnsi"/>
        </w:rPr>
        <w:t xml:space="preserve">The planned exemptions on the carbon tax to various industries erode the positive effects on emissions </w:t>
      </w:r>
      <w:r w:rsidR="00803ECB" w:rsidRPr="002525AB">
        <w:rPr>
          <w:rFonts w:cstheme="minorHAnsi"/>
        </w:rPr>
        <w:lastRenderedPageBreak/>
        <w:t xml:space="preserve">significantly and we would therefore like to recommend that the government </w:t>
      </w:r>
      <w:proofErr w:type="gramStart"/>
      <w:r w:rsidR="00803ECB" w:rsidRPr="002525AB">
        <w:rPr>
          <w:rFonts w:cstheme="minorHAnsi"/>
        </w:rPr>
        <w:t>phases</w:t>
      </w:r>
      <w:proofErr w:type="gramEnd"/>
      <w:r w:rsidR="00803ECB" w:rsidRPr="002525AB">
        <w:rPr>
          <w:rFonts w:cstheme="minorHAnsi"/>
        </w:rPr>
        <w:t xml:space="preserve"> them out faster than planned. </w:t>
      </w:r>
    </w:p>
    <w:p w14:paraId="3216B318" w14:textId="24DE31FD" w:rsidR="00FB5A3D" w:rsidRDefault="00FB5A3D" w:rsidP="00FB5A3D">
      <w:pPr>
        <w:spacing w:line="360" w:lineRule="auto"/>
      </w:pPr>
      <w:r w:rsidRPr="002525AB">
        <w:rPr>
          <w:rFonts w:cstheme="minorHAnsi"/>
        </w:rPr>
        <w:t>All the tax and recycling scenarios, however, reduce GDP growth.  The range of cumulative reduction</w:t>
      </w:r>
      <w:r w:rsidRPr="00384A12">
        <w:rPr>
          <w:rFonts w:cstheme="minorHAnsi"/>
        </w:rPr>
        <w:t xml:space="preserve"> (between 2016 and 2035) </w:t>
      </w:r>
      <w:r>
        <w:rPr>
          <w:rFonts w:cstheme="minorHAnsi"/>
        </w:rPr>
        <w:t xml:space="preserve">varies </w:t>
      </w:r>
      <w:r w:rsidRPr="00384A12">
        <w:rPr>
          <w:rFonts w:cstheme="minorHAnsi"/>
        </w:rPr>
        <w:t>being between 1.5 and 6.5 percent.  This range is much less than the reduction in CO</w:t>
      </w:r>
      <w:r w:rsidRPr="00384A12">
        <w:rPr>
          <w:rFonts w:cstheme="minorHAnsi"/>
          <w:vertAlign w:val="subscript"/>
        </w:rPr>
        <w:t>2</w:t>
      </w:r>
      <w:r w:rsidRPr="00384A12">
        <w:rPr>
          <w:rFonts w:cstheme="minorHAnsi"/>
        </w:rPr>
        <w:t>-emissions</w:t>
      </w:r>
      <w:r>
        <w:rPr>
          <w:rFonts w:cstheme="minorHAnsi"/>
        </w:rPr>
        <w:t xml:space="preserve"> mentioned above, </w:t>
      </w:r>
      <w:r w:rsidRPr="00384A12">
        <w:rPr>
          <w:rFonts w:cstheme="minorHAnsi"/>
        </w:rPr>
        <w:t>implying the CO</w:t>
      </w:r>
      <w:r w:rsidRPr="00384A12">
        <w:rPr>
          <w:rFonts w:cstheme="minorHAnsi"/>
          <w:vertAlign w:val="subscript"/>
        </w:rPr>
        <w:t>2</w:t>
      </w:r>
      <w:r w:rsidRPr="00384A12">
        <w:rPr>
          <w:rFonts w:cstheme="minorHAnsi"/>
        </w:rPr>
        <w:t xml:space="preserve">-emissions reductions effect outstrips that of the negative GDP-effect by several orders of magnitude.  If the revenue is recycled through a subsidy on all industry production then the negative effects of the carbon tax on GDP growth is minimised.  The </w:t>
      </w:r>
      <w:r w:rsidRPr="00384A12">
        <w:rPr>
          <w:rFonts w:eastAsia="Calibri" w:cstheme="minorHAnsi"/>
        </w:rPr>
        <w:t>more production-orientated and the broader the recycling base, the better the recycling scheme is for the economy compared to narrow and/or consumption/welfare orientated recycling schemes</w:t>
      </w:r>
      <w:r w:rsidRPr="00384A12">
        <w:t>.</w:t>
      </w:r>
      <w:r>
        <w:t xml:space="preserve">  </w:t>
      </w:r>
      <w:r w:rsidR="00803ECB">
        <w:t xml:space="preserve"> </w:t>
      </w:r>
    </w:p>
    <w:p w14:paraId="045770BF" w14:textId="77777777" w:rsidR="00FB5A3D" w:rsidRDefault="00FB5A3D" w:rsidP="00FB5A3D">
      <w:pPr>
        <w:spacing w:line="360" w:lineRule="auto"/>
        <w:rPr>
          <w:rFonts w:cstheme="minorHAnsi"/>
        </w:rPr>
      </w:pPr>
      <w:r w:rsidRPr="00384A12">
        <w:t xml:space="preserve">The production of fossil-fuel intensive sectors is affected most by the carbon tax, as can be expected since that is the focus, or objective, of the policy instrument.  </w:t>
      </w:r>
      <w:r>
        <w:rPr>
          <w:rFonts w:cstheme="minorHAnsi"/>
        </w:rPr>
        <w:t>Total exports decrease as a result of the carbon tax due to a reduction in South Africa’s competitiveness, but this result does not assume adoption of carbon pricing by South Africa’s main trading partners.  Iron and Steel and Other Manufacturing are the worst affected, and their exports could be lower than the baseline level by as much as 50 percent.  Other traditionally export-orientated industries, such as Other Metal Equipment, are lower than the baseline level by much less (17%), while Other Mining is lower by 3 percent.</w:t>
      </w:r>
    </w:p>
    <w:p w14:paraId="2D057086" w14:textId="699B96FC" w:rsidR="005530F0" w:rsidRDefault="005530F0" w:rsidP="00FB5A3D">
      <w:pPr>
        <w:spacing w:line="360" w:lineRule="auto"/>
        <w:rPr>
          <w:rFonts w:cstheme="minorHAnsi"/>
        </w:rPr>
      </w:pPr>
      <w:r>
        <w:rPr>
          <w:rFonts w:cstheme="minorHAnsi"/>
        </w:rPr>
        <w:t xml:space="preserve">The method of recycling chosen by the government is </w:t>
      </w:r>
      <w:proofErr w:type="spellStart"/>
      <w:r>
        <w:rPr>
          <w:rFonts w:cstheme="minorHAnsi"/>
        </w:rPr>
        <w:t>crutial</w:t>
      </w:r>
      <w:proofErr w:type="spellEnd"/>
      <w:r>
        <w:rPr>
          <w:rFonts w:cstheme="minorHAnsi"/>
        </w:rPr>
        <w:t xml:space="preserve"> for the macroeconomic and industry results. </w:t>
      </w:r>
      <w:r w:rsidR="002B25CE">
        <w:rPr>
          <w:rFonts w:cstheme="minorHAnsi"/>
        </w:rPr>
        <w:t xml:space="preserve">Recycling through a subsidy on green energy (obviously) results in higher levels of energy produced through this technology, while recycling through a decrease in the general VAT rate is much better for the Iron and Steel and other export oriented industries. It makes these industries more competitive in world markets since a lower VAT rate lowers the production price indices. Our recommendation is that the government should not </w:t>
      </w:r>
      <w:r w:rsidR="002525AB">
        <w:rPr>
          <w:rFonts w:cstheme="minorHAnsi"/>
        </w:rPr>
        <w:t xml:space="preserve">only </w:t>
      </w:r>
      <w:r w:rsidR="002B25CE">
        <w:rPr>
          <w:rFonts w:cstheme="minorHAnsi"/>
        </w:rPr>
        <w:t xml:space="preserve">try to protect certain industries through tax exemptions, but should also consider various recycling methods which might be more efficient in terms of the effects on the environment and economy. </w:t>
      </w:r>
    </w:p>
    <w:p w14:paraId="205AB97A" w14:textId="77777777" w:rsidR="00FB5A3D" w:rsidRDefault="00FB5A3D" w:rsidP="00FB5A3D">
      <w:pPr>
        <w:spacing w:line="360" w:lineRule="auto"/>
        <w:rPr>
          <w:rFonts w:cstheme="minorHAnsi"/>
        </w:rPr>
      </w:pPr>
      <w:r>
        <w:rPr>
          <w:rFonts w:cstheme="minorHAnsi"/>
        </w:rPr>
        <w:t xml:space="preserve">Carbon pricing can contribute to South Africa’s efforts to reduce its anthropocentric carbon dioxide emissions, but, in and by itself, it is unlikely to be sufficient to achieve any of the stated government objectives, and/or to honour the </w:t>
      </w:r>
      <w:r w:rsidR="007C57A2">
        <w:rPr>
          <w:rFonts w:cstheme="minorHAnsi"/>
        </w:rPr>
        <w:t>voluntary Peak-Plateau-Decline commitments made (</w:t>
      </w:r>
      <w:r w:rsidR="007C57A2" w:rsidRPr="00B812DB">
        <w:rPr>
          <w:lang w:val="en-GB"/>
        </w:rPr>
        <w:t>DEA 2011a and b</w:t>
      </w:r>
      <w:r w:rsidR="007C57A2">
        <w:rPr>
          <w:rFonts w:cstheme="minorHAnsi"/>
        </w:rPr>
        <w:t>).  This implies that should South Africa embark on a carbon pricing strategy that it will have to adopt further measures as well to achieve such objectives.  Reducing the country’s carbon footprint implies a</w:t>
      </w:r>
      <w:r>
        <w:rPr>
          <w:rFonts w:cstheme="minorHAnsi"/>
        </w:rPr>
        <w:t xml:space="preserve"> </w:t>
      </w:r>
      <w:r w:rsidR="007C57A2">
        <w:rPr>
          <w:rFonts w:cstheme="minorHAnsi"/>
        </w:rPr>
        <w:t xml:space="preserve">package deal with multiple instruments.  </w:t>
      </w:r>
    </w:p>
    <w:p w14:paraId="538A5283" w14:textId="77777777" w:rsidR="00FB5A3D" w:rsidRDefault="00FB5A3D" w:rsidP="00FB5A3D">
      <w:pPr>
        <w:spacing w:line="360" w:lineRule="auto"/>
        <w:rPr>
          <w:rFonts w:cstheme="minorHAnsi"/>
        </w:rPr>
      </w:pPr>
    </w:p>
    <w:p w14:paraId="24C048ED" w14:textId="77777777" w:rsidR="00335874" w:rsidRDefault="00335874" w:rsidP="00FB5A3D">
      <w:pPr>
        <w:spacing w:line="360" w:lineRule="auto"/>
        <w:rPr>
          <w:rFonts w:cstheme="minorHAnsi"/>
        </w:rPr>
      </w:pPr>
    </w:p>
    <w:p w14:paraId="7C8C5995" w14:textId="77777777" w:rsidR="004874BF" w:rsidRPr="00AD2A5D" w:rsidRDefault="004874BF" w:rsidP="004874BF">
      <w:pPr>
        <w:spacing w:line="360" w:lineRule="auto"/>
        <w:ind w:firstLine="567"/>
        <w:rPr>
          <w:rFonts w:ascii="Arial" w:hAnsi="Arial" w:cs="Arial"/>
          <w:b/>
        </w:rPr>
      </w:pPr>
      <w:r w:rsidRPr="00AD2A5D">
        <w:rPr>
          <w:rFonts w:ascii="Arial" w:hAnsi="Arial" w:cs="Arial"/>
          <w:b/>
        </w:rPr>
        <w:lastRenderedPageBreak/>
        <w:t>Acknowledgements</w:t>
      </w:r>
    </w:p>
    <w:p w14:paraId="2F559BD8" w14:textId="77777777" w:rsidR="006C5DB4" w:rsidRDefault="006C5DB4" w:rsidP="006C5DB4">
      <w:r w:rsidRPr="002B25CE">
        <w:t xml:space="preserve">The authors acknowledge with thanks the guidance, support and inputs given by Dr Mike </w:t>
      </w:r>
      <w:proofErr w:type="spellStart"/>
      <w:r w:rsidRPr="002B25CE">
        <w:t>Toman</w:t>
      </w:r>
      <w:proofErr w:type="spellEnd"/>
      <w:r w:rsidRPr="002B25CE">
        <w:t xml:space="preserve"> and Dr</w:t>
      </w:r>
      <w:r>
        <w:t xml:space="preserve"> </w:t>
      </w:r>
      <w:proofErr w:type="spellStart"/>
      <w:r>
        <w:t>Govinda</w:t>
      </w:r>
      <w:proofErr w:type="spellEnd"/>
      <w:r>
        <w:t xml:space="preserve"> </w:t>
      </w:r>
      <w:proofErr w:type="spellStart"/>
      <w:r>
        <w:t>Timilsina</w:t>
      </w:r>
      <w:proofErr w:type="spellEnd"/>
      <w:r>
        <w:t xml:space="preserve"> of the World Bank.</w:t>
      </w:r>
      <w:r w:rsidR="00964BA1">
        <w:t xml:space="preserve">  T</w:t>
      </w:r>
      <w:r>
        <w:t>he participation and inputs of Mr Cecil Morden, Mr Peter Janoska and Dr Memory Machingambi of the South African National Treasury in the study are also gratefully acknowledged.</w:t>
      </w:r>
      <w:r w:rsidR="00964BA1">
        <w:t xml:space="preserve">  The authors also acknowledge the financial support of the World Bank’s </w:t>
      </w:r>
      <w:r w:rsidR="00964BA1" w:rsidRPr="00964BA1">
        <w:t>Partnership for Market Readiness on Climate Change Mitigation</w:t>
      </w:r>
      <w:r w:rsidR="00964BA1">
        <w:t xml:space="preserve"> programme.</w:t>
      </w:r>
    </w:p>
    <w:p w14:paraId="02488AE9" w14:textId="77777777" w:rsidR="00964BA1" w:rsidRDefault="00964BA1" w:rsidP="006C5DB4"/>
    <w:p w14:paraId="58D0F7A7" w14:textId="77777777" w:rsidR="004874BF" w:rsidRPr="00AD2A5D" w:rsidRDefault="004874BF" w:rsidP="006C5DB4">
      <w:pPr>
        <w:pStyle w:val="Heading1"/>
      </w:pPr>
      <w:r w:rsidRPr="00AD2A5D">
        <w:t>References</w:t>
      </w:r>
    </w:p>
    <w:p w14:paraId="2E8EC769" w14:textId="77777777" w:rsidR="0023441D" w:rsidRPr="002957D8" w:rsidRDefault="0023441D" w:rsidP="0023441D">
      <w:pPr>
        <w:spacing w:after="120" w:line="360" w:lineRule="auto"/>
        <w:ind w:firstLine="562"/>
        <w:rPr>
          <w:rFonts w:ascii="Calibri" w:hAnsi="Calibri" w:cs="Calibri"/>
        </w:rPr>
      </w:pPr>
      <w:r>
        <w:rPr>
          <w:rFonts w:ascii="Calibri" w:hAnsi="Calibri" w:cs="Calibri"/>
        </w:rPr>
        <w:t xml:space="preserve">Alton, T., Arndt, C., </w:t>
      </w:r>
      <w:r w:rsidRPr="002957D8">
        <w:rPr>
          <w:rFonts w:ascii="Calibri" w:hAnsi="Calibri" w:cs="Calibri"/>
        </w:rPr>
        <w:t xml:space="preserve">Davies, R., Hartley, F., </w:t>
      </w:r>
      <w:proofErr w:type="spellStart"/>
      <w:r w:rsidRPr="002957D8">
        <w:rPr>
          <w:rFonts w:ascii="Calibri" w:hAnsi="Calibri" w:cs="Calibri"/>
        </w:rPr>
        <w:t>Makrelov</w:t>
      </w:r>
      <w:proofErr w:type="spellEnd"/>
      <w:r w:rsidRPr="002957D8">
        <w:rPr>
          <w:rFonts w:ascii="Calibri" w:hAnsi="Calibri" w:cs="Calibri"/>
        </w:rPr>
        <w:t xml:space="preserve">, K., </w:t>
      </w:r>
      <w:proofErr w:type="spellStart"/>
      <w:r w:rsidRPr="002957D8">
        <w:rPr>
          <w:rFonts w:ascii="Calibri" w:hAnsi="Calibri" w:cs="Calibri"/>
        </w:rPr>
        <w:t>Thurlow</w:t>
      </w:r>
      <w:proofErr w:type="spellEnd"/>
      <w:r w:rsidRPr="002957D8">
        <w:rPr>
          <w:rFonts w:ascii="Calibri" w:hAnsi="Calibri" w:cs="Calibri"/>
        </w:rPr>
        <w:t xml:space="preserve">, J. and </w:t>
      </w:r>
      <w:proofErr w:type="spellStart"/>
      <w:r w:rsidRPr="002957D8">
        <w:rPr>
          <w:rFonts w:ascii="Calibri" w:hAnsi="Calibri" w:cs="Calibri"/>
        </w:rPr>
        <w:t>Ubogu</w:t>
      </w:r>
      <w:proofErr w:type="spellEnd"/>
      <w:r w:rsidRPr="002957D8">
        <w:rPr>
          <w:rFonts w:ascii="Calibri" w:hAnsi="Calibri" w:cs="Calibri"/>
        </w:rPr>
        <w:t xml:space="preserve">, D. (2014) Introducing Carbon Taxes in South Africa. </w:t>
      </w:r>
      <w:proofErr w:type="gramStart"/>
      <w:r w:rsidRPr="002957D8">
        <w:rPr>
          <w:rFonts w:ascii="Calibri" w:hAnsi="Calibri" w:cs="Calibri"/>
        </w:rPr>
        <w:t>Applied Energy, 116:344-354.</w:t>
      </w:r>
      <w:proofErr w:type="gramEnd"/>
    </w:p>
    <w:p w14:paraId="162EC516" w14:textId="77777777" w:rsidR="004874BF" w:rsidRPr="002957D8" w:rsidRDefault="004874BF" w:rsidP="004874BF">
      <w:pPr>
        <w:spacing w:after="120" w:line="360" w:lineRule="auto"/>
        <w:ind w:firstLine="562"/>
        <w:rPr>
          <w:rFonts w:ascii="Calibri" w:hAnsi="Calibri" w:cs="Calibri"/>
        </w:rPr>
      </w:pPr>
      <w:r w:rsidRPr="002957D8">
        <w:rPr>
          <w:rFonts w:ascii="Calibri" w:hAnsi="Calibri" w:cs="Calibri"/>
        </w:rPr>
        <w:t xml:space="preserve">Adams, P.D., Dixon, J., </w:t>
      </w:r>
      <w:proofErr w:type="spellStart"/>
      <w:r w:rsidRPr="002957D8">
        <w:rPr>
          <w:rFonts w:ascii="Calibri" w:hAnsi="Calibri" w:cs="Calibri"/>
        </w:rPr>
        <w:t>Giesecke</w:t>
      </w:r>
      <w:proofErr w:type="spellEnd"/>
      <w:r w:rsidRPr="002957D8">
        <w:rPr>
          <w:rFonts w:ascii="Calibri" w:hAnsi="Calibri" w:cs="Calibri"/>
        </w:rPr>
        <w:t xml:space="preserve">, J. and </w:t>
      </w:r>
      <w:proofErr w:type="spellStart"/>
      <w:r w:rsidRPr="002957D8">
        <w:rPr>
          <w:rFonts w:ascii="Calibri" w:hAnsi="Calibri" w:cs="Calibri"/>
        </w:rPr>
        <w:t>Horridge</w:t>
      </w:r>
      <w:proofErr w:type="spellEnd"/>
      <w:r w:rsidRPr="002957D8">
        <w:rPr>
          <w:rFonts w:ascii="Calibri" w:hAnsi="Calibri" w:cs="Calibri"/>
        </w:rPr>
        <w:t xml:space="preserve">, J.M. (2014) MMRF5: Monash Multi-Regional Forecasting Model: A Dynamic Multi-Regional Model of the Australian Economy. Available upon request from the Centre of Policy Studies. Previously published as </w:t>
      </w:r>
      <w:proofErr w:type="spellStart"/>
      <w:r w:rsidRPr="002957D8">
        <w:rPr>
          <w:rFonts w:ascii="Calibri" w:hAnsi="Calibri" w:cs="Calibri"/>
        </w:rPr>
        <w:t>CoPS</w:t>
      </w:r>
      <w:proofErr w:type="spellEnd"/>
      <w:r w:rsidRPr="002957D8">
        <w:rPr>
          <w:rFonts w:ascii="Calibri" w:hAnsi="Calibri" w:cs="Calibri"/>
        </w:rPr>
        <w:t xml:space="preserve"> General Paper No. G-223.</w:t>
      </w:r>
    </w:p>
    <w:p w14:paraId="1B4BA4A0" w14:textId="77777777" w:rsidR="004874BF" w:rsidRPr="002957D8" w:rsidRDefault="004874BF" w:rsidP="004874BF">
      <w:pPr>
        <w:spacing w:after="120" w:line="360" w:lineRule="auto"/>
        <w:ind w:firstLine="567"/>
        <w:rPr>
          <w:rFonts w:ascii="Calibri" w:hAnsi="Calibri" w:cs="Calibri"/>
        </w:rPr>
      </w:pPr>
      <w:proofErr w:type="spellStart"/>
      <w:r w:rsidRPr="002957D8">
        <w:rPr>
          <w:rFonts w:ascii="Calibri" w:hAnsi="Calibri" w:cs="Calibri"/>
        </w:rPr>
        <w:t>Blignaut</w:t>
      </w:r>
      <w:proofErr w:type="spellEnd"/>
      <w:r w:rsidRPr="002957D8">
        <w:rPr>
          <w:rFonts w:ascii="Calibri" w:hAnsi="Calibri" w:cs="Calibri"/>
        </w:rPr>
        <w:t xml:space="preserve">, J.N., </w:t>
      </w:r>
      <w:proofErr w:type="spellStart"/>
      <w:r w:rsidRPr="002957D8">
        <w:rPr>
          <w:rFonts w:ascii="Calibri" w:hAnsi="Calibri" w:cs="Calibri"/>
        </w:rPr>
        <w:t>Mabugu</w:t>
      </w:r>
      <w:proofErr w:type="spellEnd"/>
      <w:r w:rsidRPr="002957D8">
        <w:rPr>
          <w:rFonts w:ascii="Calibri" w:hAnsi="Calibri" w:cs="Calibri"/>
        </w:rPr>
        <w:t xml:space="preserve">, R.M. and </w:t>
      </w:r>
      <w:proofErr w:type="spellStart"/>
      <w:r w:rsidRPr="002957D8">
        <w:rPr>
          <w:rFonts w:ascii="Calibri" w:hAnsi="Calibri" w:cs="Calibri"/>
        </w:rPr>
        <w:t>Chitiga-Mabugu</w:t>
      </w:r>
      <w:proofErr w:type="spellEnd"/>
      <w:r w:rsidRPr="002957D8">
        <w:rPr>
          <w:rFonts w:ascii="Calibri" w:hAnsi="Calibri" w:cs="Calibri"/>
        </w:rPr>
        <w:t>, M.R. (2005) Constructing a Greenhouse Gas Emissions Inventory using Energy Balances: The Case of South Africa, 1998. Journal of Energy in Southern Africa, 16(3):105-116.</w:t>
      </w:r>
    </w:p>
    <w:p w14:paraId="3FF75A7A" w14:textId="77777777" w:rsidR="004874BF" w:rsidRPr="002957D8" w:rsidRDefault="004874BF" w:rsidP="004874BF">
      <w:pPr>
        <w:spacing w:after="120" w:line="360" w:lineRule="auto"/>
        <w:ind w:firstLine="567"/>
        <w:rPr>
          <w:rFonts w:ascii="Calibri" w:hAnsi="Calibri" w:cs="Calibri"/>
        </w:rPr>
      </w:pPr>
      <w:r w:rsidRPr="002957D8">
        <w:rPr>
          <w:rFonts w:ascii="Calibri" w:hAnsi="Calibri" w:cs="Calibri"/>
        </w:rPr>
        <w:t xml:space="preserve">Bohlmann, H.R., Dixon, P.B., </w:t>
      </w:r>
      <w:proofErr w:type="spellStart"/>
      <w:r w:rsidRPr="002957D8">
        <w:rPr>
          <w:rFonts w:ascii="Calibri" w:hAnsi="Calibri" w:cs="Calibri"/>
        </w:rPr>
        <w:t>Rimmer</w:t>
      </w:r>
      <w:proofErr w:type="spellEnd"/>
      <w:r w:rsidRPr="002957D8">
        <w:rPr>
          <w:rFonts w:ascii="Calibri" w:hAnsi="Calibri" w:cs="Calibri"/>
        </w:rPr>
        <w:t>, M.T. and Van Heerden, J.H. (2015) The Impact of the 2014 Platinum Mining Strike in South Africa: An Economy-Wide Analysis. Economic Modelling, 51:403-411.</w:t>
      </w:r>
    </w:p>
    <w:p w14:paraId="0F56D7AF" w14:textId="77777777" w:rsidR="004874BF" w:rsidRPr="002957D8" w:rsidRDefault="004874BF" w:rsidP="004874BF">
      <w:pPr>
        <w:spacing w:after="120" w:line="360" w:lineRule="auto"/>
        <w:ind w:firstLine="567"/>
        <w:rPr>
          <w:rFonts w:ascii="Calibri" w:hAnsi="Calibri" w:cs="Calibri"/>
        </w:rPr>
      </w:pPr>
      <w:r w:rsidRPr="002957D8">
        <w:rPr>
          <w:rFonts w:ascii="Calibri" w:hAnsi="Calibri" w:cs="Calibri"/>
        </w:rPr>
        <w:t xml:space="preserve">CEPII. (2012) </w:t>
      </w:r>
      <w:proofErr w:type="gramStart"/>
      <w:r w:rsidRPr="002957D8">
        <w:rPr>
          <w:rFonts w:ascii="Calibri" w:hAnsi="Calibri" w:cs="Calibri"/>
        </w:rPr>
        <w:t>The</w:t>
      </w:r>
      <w:proofErr w:type="gramEnd"/>
      <w:r w:rsidRPr="002957D8">
        <w:rPr>
          <w:rFonts w:ascii="Calibri" w:hAnsi="Calibri" w:cs="Calibri"/>
        </w:rPr>
        <w:t xml:space="preserve"> Great Shift: Macroeconomic Projections for the World Economy at the 2050 Horizon. CEPII Working Paper 2012-03. Centre </w:t>
      </w:r>
      <w:proofErr w:type="spellStart"/>
      <w:r w:rsidRPr="002957D8">
        <w:rPr>
          <w:rFonts w:ascii="Calibri" w:hAnsi="Calibri" w:cs="Calibri"/>
        </w:rPr>
        <w:t>D’Etudes</w:t>
      </w:r>
      <w:proofErr w:type="spellEnd"/>
      <w:r w:rsidRPr="002957D8">
        <w:rPr>
          <w:rFonts w:ascii="Calibri" w:hAnsi="Calibri" w:cs="Calibri"/>
        </w:rPr>
        <w:t xml:space="preserve"> </w:t>
      </w:r>
      <w:proofErr w:type="spellStart"/>
      <w:r w:rsidRPr="002957D8">
        <w:rPr>
          <w:rFonts w:ascii="Calibri" w:hAnsi="Calibri" w:cs="Calibri"/>
        </w:rPr>
        <w:t>Prospectives</w:t>
      </w:r>
      <w:proofErr w:type="spellEnd"/>
      <w:r w:rsidRPr="002957D8">
        <w:rPr>
          <w:rFonts w:ascii="Calibri" w:hAnsi="Calibri" w:cs="Calibri"/>
        </w:rPr>
        <w:t xml:space="preserve"> </w:t>
      </w:r>
      <w:proofErr w:type="gramStart"/>
      <w:r w:rsidRPr="002957D8">
        <w:rPr>
          <w:rFonts w:ascii="Calibri" w:hAnsi="Calibri" w:cs="Calibri"/>
        </w:rPr>
        <w:t>Et</w:t>
      </w:r>
      <w:proofErr w:type="gramEnd"/>
      <w:r w:rsidRPr="002957D8">
        <w:rPr>
          <w:rFonts w:ascii="Calibri" w:hAnsi="Calibri" w:cs="Calibri"/>
        </w:rPr>
        <w:t xml:space="preserve"> </w:t>
      </w:r>
      <w:proofErr w:type="spellStart"/>
      <w:r w:rsidRPr="002957D8">
        <w:rPr>
          <w:rFonts w:ascii="Calibri" w:hAnsi="Calibri" w:cs="Calibri"/>
        </w:rPr>
        <w:t>D’Informations</w:t>
      </w:r>
      <w:proofErr w:type="spellEnd"/>
      <w:r w:rsidRPr="002957D8">
        <w:rPr>
          <w:rFonts w:ascii="Calibri" w:hAnsi="Calibri" w:cs="Calibri"/>
        </w:rPr>
        <w:t xml:space="preserve"> </w:t>
      </w:r>
      <w:proofErr w:type="spellStart"/>
      <w:r w:rsidRPr="002957D8">
        <w:rPr>
          <w:rFonts w:ascii="Calibri" w:hAnsi="Calibri" w:cs="Calibri"/>
        </w:rPr>
        <w:t>Internationales</w:t>
      </w:r>
      <w:proofErr w:type="spellEnd"/>
      <w:r w:rsidRPr="002957D8">
        <w:rPr>
          <w:rFonts w:ascii="Calibri" w:hAnsi="Calibri" w:cs="Calibri"/>
        </w:rPr>
        <w:t>, Paris.</w:t>
      </w:r>
    </w:p>
    <w:p w14:paraId="119D147E" w14:textId="77777777" w:rsidR="007010F7" w:rsidRPr="007010F7" w:rsidRDefault="007010F7" w:rsidP="007010F7">
      <w:pPr>
        <w:spacing w:after="120" w:line="360" w:lineRule="auto"/>
        <w:ind w:firstLine="562"/>
        <w:rPr>
          <w:rFonts w:ascii="Calibri" w:hAnsi="Calibri" w:cs="Calibri"/>
        </w:rPr>
      </w:pPr>
      <w:proofErr w:type="spellStart"/>
      <w:r w:rsidRPr="007010F7">
        <w:rPr>
          <w:rFonts w:ascii="Calibri" w:hAnsi="Calibri" w:cs="Calibri"/>
        </w:rPr>
        <w:t>Devarajan</w:t>
      </w:r>
      <w:proofErr w:type="spellEnd"/>
      <w:r w:rsidRPr="007010F7">
        <w:rPr>
          <w:rFonts w:ascii="Calibri" w:hAnsi="Calibri" w:cs="Calibri"/>
        </w:rPr>
        <w:t xml:space="preserve">, S., Go, D.S., Robinson, S. &amp; </w:t>
      </w:r>
      <w:proofErr w:type="spellStart"/>
      <w:r w:rsidRPr="007010F7">
        <w:rPr>
          <w:rFonts w:ascii="Calibri" w:hAnsi="Calibri" w:cs="Calibri"/>
        </w:rPr>
        <w:t>Thierfelder</w:t>
      </w:r>
      <w:proofErr w:type="spellEnd"/>
      <w:r w:rsidRPr="007010F7">
        <w:rPr>
          <w:rFonts w:ascii="Calibri" w:hAnsi="Calibri" w:cs="Calibri"/>
        </w:rPr>
        <w:t xml:space="preserve">, </w:t>
      </w:r>
      <w:proofErr w:type="gramStart"/>
      <w:r w:rsidRPr="007010F7">
        <w:rPr>
          <w:rFonts w:ascii="Calibri" w:hAnsi="Calibri" w:cs="Calibri"/>
        </w:rPr>
        <w:t>K</w:t>
      </w:r>
      <w:proofErr w:type="gramEnd"/>
      <w:r w:rsidRPr="007010F7">
        <w:rPr>
          <w:rFonts w:ascii="Calibri" w:hAnsi="Calibri" w:cs="Calibri"/>
        </w:rPr>
        <w:t xml:space="preserve">. 2009. Tax Policy to Reduce Carbon Emissions in South Africa. Policy Research Working Paper 4933. World Bank. </w:t>
      </w:r>
    </w:p>
    <w:p w14:paraId="5227D6ED" w14:textId="77777777" w:rsidR="004874BF" w:rsidRPr="002957D8" w:rsidRDefault="004874BF" w:rsidP="004874BF">
      <w:pPr>
        <w:spacing w:after="120" w:line="360" w:lineRule="auto"/>
        <w:ind w:firstLine="567"/>
        <w:rPr>
          <w:rFonts w:ascii="Calibri" w:hAnsi="Calibri" w:cs="Calibri"/>
        </w:rPr>
      </w:pPr>
      <w:r w:rsidRPr="002957D8">
        <w:rPr>
          <w:rFonts w:ascii="Calibri" w:hAnsi="Calibri" w:cs="Calibri"/>
        </w:rPr>
        <w:t>Department of Energy (DoE). (2013) Integrated Resource Plan for Electricity 2010-2030: Updated Report, November 2013. Department of Energy, Pretoria.</w:t>
      </w:r>
    </w:p>
    <w:p w14:paraId="5D6D21EE" w14:textId="77777777" w:rsidR="004874BF" w:rsidRPr="002957D8" w:rsidRDefault="004874BF" w:rsidP="004874BF">
      <w:pPr>
        <w:spacing w:after="120" w:line="360" w:lineRule="auto"/>
        <w:ind w:firstLine="567"/>
        <w:rPr>
          <w:rFonts w:ascii="Calibri" w:hAnsi="Calibri" w:cs="Calibri"/>
        </w:rPr>
      </w:pPr>
      <w:r w:rsidRPr="002957D8">
        <w:rPr>
          <w:rFonts w:ascii="Calibri" w:hAnsi="Calibri" w:cs="Calibri"/>
        </w:rPr>
        <w:t xml:space="preserve">Department of Environmental Affairs (DEA). (2009) Greenhouse Gas Inventory South Africa: 1990-2000. Department of Environmental Affairs, Pretoria. </w:t>
      </w:r>
    </w:p>
    <w:p w14:paraId="3EBB8D84" w14:textId="77777777" w:rsidR="004874BF" w:rsidRPr="002957D8" w:rsidRDefault="004874BF" w:rsidP="004874BF">
      <w:pPr>
        <w:spacing w:after="120" w:line="360" w:lineRule="auto"/>
        <w:ind w:firstLine="567"/>
        <w:rPr>
          <w:rFonts w:ascii="Calibri" w:hAnsi="Calibri" w:cs="Calibri"/>
        </w:rPr>
      </w:pPr>
      <w:r w:rsidRPr="002957D8">
        <w:rPr>
          <w:rFonts w:ascii="Calibri" w:hAnsi="Calibri" w:cs="Calibri"/>
        </w:rPr>
        <w:t xml:space="preserve">Dixon, P.B. and </w:t>
      </w:r>
      <w:proofErr w:type="spellStart"/>
      <w:r w:rsidRPr="002957D8">
        <w:rPr>
          <w:rFonts w:ascii="Calibri" w:hAnsi="Calibri" w:cs="Calibri"/>
        </w:rPr>
        <w:t>Rimmer</w:t>
      </w:r>
      <w:proofErr w:type="spellEnd"/>
      <w:r w:rsidRPr="002957D8">
        <w:rPr>
          <w:rFonts w:ascii="Calibri" w:hAnsi="Calibri" w:cs="Calibri"/>
        </w:rPr>
        <w:t>, M.T. (2002) Dynamic General Equilibrium Modelling for Forecasting and Policy: A Practical Guide and Documentation of MONASH. Amsterdam: North-Holland.</w:t>
      </w:r>
    </w:p>
    <w:p w14:paraId="3C30C391" w14:textId="77777777" w:rsidR="004874BF" w:rsidRPr="002957D8" w:rsidRDefault="004874BF" w:rsidP="004874BF">
      <w:pPr>
        <w:spacing w:after="120" w:line="360" w:lineRule="auto"/>
        <w:ind w:firstLine="567"/>
        <w:rPr>
          <w:rFonts w:ascii="Calibri" w:hAnsi="Calibri" w:cs="Calibri"/>
        </w:rPr>
      </w:pPr>
      <w:r w:rsidRPr="002957D8">
        <w:rPr>
          <w:rFonts w:ascii="Calibri" w:hAnsi="Calibri" w:cs="Calibri"/>
        </w:rPr>
        <w:t xml:space="preserve">Dixon, P.B. and </w:t>
      </w:r>
      <w:proofErr w:type="spellStart"/>
      <w:r w:rsidRPr="002957D8">
        <w:rPr>
          <w:rFonts w:ascii="Calibri" w:hAnsi="Calibri" w:cs="Calibri"/>
        </w:rPr>
        <w:t>Rimmer</w:t>
      </w:r>
      <w:proofErr w:type="spellEnd"/>
      <w:r w:rsidRPr="002957D8">
        <w:rPr>
          <w:rFonts w:ascii="Calibri" w:hAnsi="Calibri" w:cs="Calibri"/>
        </w:rPr>
        <w:t xml:space="preserve">, M.T. (2005) Reducing the Barriers to Entry in Dynamic CGE Modelling. Paper Prepared for the 8th Annual Conference on Global Economic Analysis. </w:t>
      </w:r>
      <w:proofErr w:type="spellStart"/>
      <w:r w:rsidRPr="002957D8">
        <w:rPr>
          <w:rFonts w:ascii="Calibri" w:hAnsi="Calibri" w:cs="Calibri"/>
        </w:rPr>
        <w:t>Lübeck</w:t>
      </w:r>
      <w:proofErr w:type="spellEnd"/>
      <w:r w:rsidRPr="002957D8">
        <w:rPr>
          <w:rFonts w:ascii="Calibri" w:hAnsi="Calibri" w:cs="Calibri"/>
        </w:rPr>
        <w:t>, Germany.</w:t>
      </w:r>
    </w:p>
    <w:p w14:paraId="35CB5783" w14:textId="77777777" w:rsidR="004874BF" w:rsidRPr="002957D8" w:rsidRDefault="004874BF" w:rsidP="004874BF">
      <w:pPr>
        <w:spacing w:after="120" w:line="360" w:lineRule="auto"/>
        <w:ind w:firstLine="567"/>
        <w:rPr>
          <w:rFonts w:ascii="Calibri" w:hAnsi="Calibri" w:cs="Calibri"/>
        </w:rPr>
      </w:pPr>
      <w:r w:rsidRPr="002957D8">
        <w:rPr>
          <w:rFonts w:ascii="Calibri" w:hAnsi="Calibri" w:cs="Calibri"/>
        </w:rPr>
        <w:lastRenderedPageBreak/>
        <w:t xml:space="preserve">Dixon, P.B., </w:t>
      </w:r>
      <w:proofErr w:type="spellStart"/>
      <w:r w:rsidRPr="002957D8">
        <w:rPr>
          <w:rFonts w:ascii="Calibri" w:hAnsi="Calibri" w:cs="Calibri"/>
        </w:rPr>
        <w:t>Koopman</w:t>
      </w:r>
      <w:proofErr w:type="spellEnd"/>
      <w:r w:rsidRPr="002957D8">
        <w:rPr>
          <w:rFonts w:ascii="Calibri" w:hAnsi="Calibri" w:cs="Calibri"/>
        </w:rPr>
        <w:t xml:space="preserve">, R.B. and </w:t>
      </w:r>
      <w:proofErr w:type="spellStart"/>
      <w:r w:rsidRPr="002957D8">
        <w:rPr>
          <w:rFonts w:ascii="Calibri" w:hAnsi="Calibri" w:cs="Calibri"/>
        </w:rPr>
        <w:t>Rimmer</w:t>
      </w:r>
      <w:proofErr w:type="spellEnd"/>
      <w:r w:rsidRPr="002957D8">
        <w:rPr>
          <w:rFonts w:ascii="Calibri" w:hAnsi="Calibri" w:cs="Calibri"/>
        </w:rPr>
        <w:t>, M.T. (2013) The MONASH Style of CGE Modelling. Chapter 2 in Handbook of Computable General Equilibrium Modelling. (Edited by Dixon, P.B. and Jorgenson, D.W.) Amsterdam: North-</w:t>
      </w:r>
      <w:proofErr w:type="spellStart"/>
      <w:r w:rsidRPr="002957D8">
        <w:rPr>
          <w:rFonts w:ascii="Calibri" w:hAnsi="Calibri" w:cs="Calibri"/>
        </w:rPr>
        <w:t>Holland.Eskom</w:t>
      </w:r>
      <w:proofErr w:type="spellEnd"/>
      <w:r w:rsidRPr="002957D8">
        <w:rPr>
          <w:rFonts w:ascii="Calibri" w:hAnsi="Calibri" w:cs="Calibri"/>
        </w:rPr>
        <w:t>. (2015) Tariffs and Charges: 2015/2016. Eskom Holdings SOC Limited, South Africa.</w:t>
      </w:r>
    </w:p>
    <w:p w14:paraId="54E8FB27" w14:textId="77777777" w:rsidR="004874BF" w:rsidRPr="002957D8" w:rsidRDefault="004874BF" w:rsidP="004874BF">
      <w:pPr>
        <w:spacing w:after="120" w:line="360" w:lineRule="auto"/>
        <w:ind w:firstLine="567"/>
        <w:rPr>
          <w:rFonts w:ascii="Calibri" w:hAnsi="Calibri" w:cs="Calibri"/>
        </w:rPr>
      </w:pPr>
      <w:r w:rsidRPr="002957D8">
        <w:rPr>
          <w:rFonts w:ascii="Calibri" w:hAnsi="Calibri" w:cs="Calibri"/>
        </w:rPr>
        <w:t>Harrison, W.J. and Pearson, K.R. (1996) Computing Solutions for Large General Equilibrium Models using GEMPACK. Computational Economics, 9:83-127.</w:t>
      </w:r>
    </w:p>
    <w:p w14:paraId="08F7FAB6" w14:textId="77777777" w:rsidR="004874BF" w:rsidRPr="002957D8" w:rsidRDefault="004874BF" w:rsidP="004874BF">
      <w:pPr>
        <w:spacing w:after="120" w:line="360" w:lineRule="auto"/>
        <w:ind w:firstLine="567"/>
        <w:rPr>
          <w:rFonts w:ascii="Calibri" w:hAnsi="Calibri" w:cs="Calibri"/>
        </w:rPr>
      </w:pPr>
      <w:proofErr w:type="spellStart"/>
      <w:r w:rsidRPr="002957D8">
        <w:rPr>
          <w:rFonts w:ascii="Calibri" w:hAnsi="Calibri" w:cs="Calibri"/>
        </w:rPr>
        <w:t>Hinchy</w:t>
      </w:r>
      <w:proofErr w:type="spellEnd"/>
      <w:r w:rsidRPr="002957D8">
        <w:rPr>
          <w:rFonts w:ascii="Calibri" w:hAnsi="Calibri" w:cs="Calibri"/>
        </w:rPr>
        <w:t xml:space="preserve">, M. and </w:t>
      </w:r>
      <w:proofErr w:type="spellStart"/>
      <w:r w:rsidRPr="002957D8">
        <w:rPr>
          <w:rFonts w:ascii="Calibri" w:hAnsi="Calibri" w:cs="Calibri"/>
        </w:rPr>
        <w:t>Hanslow</w:t>
      </w:r>
      <w:proofErr w:type="spellEnd"/>
      <w:r w:rsidRPr="002957D8">
        <w:rPr>
          <w:rFonts w:ascii="Calibri" w:hAnsi="Calibri" w:cs="Calibri"/>
        </w:rPr>
        <w:t xml:space="preserve">, K. (1996) </w:t>
      </w:r>
      <w:proofErr w:type="gramStart"/>
      <w:r w:rsidRPr="002957D8">
        <w:rPr>
          <w:rFonts w:ascii="Calibri" w:hAnsi="Calibri" w:cs="Calibri"/>
        </w:rPr>
        <w:t>The</w:t>
      </w:r>
      <w:proofErr w:type="gramEnd"/>
      <w:r w:rsidRPr="002957D8">
        <w:rPr>
          <w:rFonts w:ascii="Calibri" w:hAnsi="Calibri" w:cs="Calibri"/>
        </w:rPr>
        <w:t xml:space="preserve"> MEGABARE Model: Interim Documentation. Australian Bureau of Agricultural and Resource Economics, Canberra.</w:t>
      </w:r>
    </w:p>
    <w:p w14:paraId="2C59CF0B" w14:textId="77777777" w:rsidR="004874BF" w:rsidRPr="002957D8" w:rsidRDefault="004874BF" w:rsidP="004874BF">
      <w:pPr>
        <w:spacing w:after="120" w:line="360" w:lineRule="auto"/>
        <w:ind w:firstLine="567"/>
        <w:rPr>
          <w:rFonts w:ascii="Calibri" w:hAnsi="Calibri" w:cs="Calibri"/>
        </w:rPr>
      </w:pPr>
      <w:proofErr w:type="spellStart"/>
      <w:r w:rsidRPr="002957D8">
        <w:rPr>
          <w:rFonts w:ascii="Calibri" w:hAnsi="Calibri" w:cs="Calibri"/>
        </w:rPr>
        <w:t>Horridge</w:t>
      </w:r>
      <w:proofErr w:type="spellEnd"/>
      <w:r w:rsidRPr="002957D8">
        <w:rPr>
          <w:rFonts w:ascii="Calibri" w:hAnsi="Calibri" w:cs="Calibri"/>
        </w:rPr>
        <w:t xml:space="preserve">, J.M., </w:t>
      </w:r>
      <w:proofErr w:type="spellStart"/>
      <w:r w:rsidRPr="002957D8">
        <w:rPr>
          <w:rFonts w:ascii="Calibri" w:hAnsi="Calibri" w:cs="Calibri"/>
        </w:rPr>
        <w:t>Meeraus</w:t>
      </w:r>
      <w:proofErr w:type="spellEnd"/>
      <w:r w:rsidRPr="002957D8">
        <w:rPr>
          <w:rFonts w:ascii="Calibri" w:hAnsi="Calibri" w:cs="Calibri"/>
        </w:rPr>
        <w:t>, A., Pearson, K.R. and Rutherford, T.F. (2013) Solution Software for CGE Modelling. Chapter 20 in Handbook of Computable General Equilibrium Modelling. (Edited by Dixon, P.B. and Jorgenson, D.W.) Amsterdam: North-Holland.</w:t>
      </w:r>
    </w:p>
    <w:p w14:paraId="0C6891F2" w14:textId="77777777" w:rsidR="004874BF" w:rsidRPr="002957D8" w:rsidRDefault="004874BF" w:rsidP="004874BF">
      <w:pPr>
        <w:spacing w:after="120" w:line="360" w:lineRule="auto"/>
        <w:ind w:firstLine="567"/>
        <w:rPr>
          <w:rFonts w:ascii="Calibri" w:hAnsi="Calibri" w:cs="Calibri"/>
        </w:rPr>
      </w:pPr>
      <w:r w:rsidRPr="002957D8">
        <w:rPr>
          <w:rFonts w:ascii="Calibri" w:hAnsi="Calibri" w:cs="Calibri"/>
        </w:rPr>
        <w:t>International Monetary Fund. (2016) World Economic Outlook, April 2016. Washington, D.C.</w:t>
      </w:r>
    </w:p>
    <w:p w14:paraId="22B3A631" w14:textId="77777777" w:rsidR="007010F7" w:rsidRPr="007010F7" w:rsidRDefault="007010F7" w:rsidP="007010F7">
      <w:pPr>
        <w:spacing w:after="120" w:line="360" w:lineRule="auto"/>
        <w:ind w:firstLine="562"/>
        <w:rPr>
          <w:rFonts w:ascii="Calibri" w:hAnsi="Calibri" w:cs="Calibri"/>
        </w:rPr>
      </w:pPr>
      <w:r w:rsidRPr="007010F7">
        <w:rPr>
          <w:rFonts w:ascii="Calibri" w:hAnsi="Calibri" w:cs="Calibri"/>
        </w:rPr>
        <w:t>Kearney, M. 2008. Modelling the impact of CO2 taxes in combination with the Long-Term Mitigation Scenarios on emissions in South Africa using a dynamic computable general equilibrium model. University of Cape Town: Energy Research Centre (ERC).</w:t>
      </w:r>
    </w:p>
    <w:p w14:paraId="19B0DCEB" w14:textId="77777777" w:rsidR="0023441D" w:rsidRDefault="0023441D" w:rsidP="0023441D">
      <w:pPr>
        <w:spacing w:after="120" w:line="360" w:lineRule="auto"/>
        <w:ind w:firstLine="562"/>
        <w:rPr>
          <w:rFonts w:ascii="Calibri" w:hAnsi="Calibri" w:cs="Calibri"/>
        </w:rPr>
      </w:pPr>
      <w:proofErr w:type="gramStart"/>
      <w:r>
        <w:rPr>
          <w:rFonts w:ascii="Calibri" w:hAnsi="Calibri" w:cs="Calibri"/>
        </w:rPr>
        <w:t>National Treasury.</w:t>
      </w:r>
      <w:proofErr w:type="gramEnd"/>
      <w:r>
        <w:rPr>
          <w:rFonts w:ascii="Calibri" w:hAnsi="Calibri" w:cs="Calibri"/>
        </w:rPr>
        <w:t xml:space="preserve"> (2013) Carbon Tax Policy Paper: Reducing Greenhouse Gas Emissions and Facilitating the Transition to a Green Economy. National Treasury, Pretoria.</w:t>
      </w:r>
    </w:p>
    <w:p w14:paraId="3117D5E0" w14:textId="77777777" w:rsidR="0023441D" w:rsidRPr="007010F7" w:rsidRDefault="0023441D" w:rsidP="0023441D">
      <w:pPr>
        <w:spacing w:after="120" w:line="360" w:lineRule="auto"/>
        <w:ind w:firstLine="562"/>
        <w:rPr>
          <w:rFonts w:ascii="Calibri" w:hAnsi="Calibri" w:cs="Calibri"/>
        </w:rPr>
      </w:pPr>
      <w:proofErr w:type="gramStart"/>
      <w:r>
        <w:rPr>
          <w:rFonts w:ascii="Calibri" w:hAnsi="Calibri" w:cs="Calibri"/>
        </w:rPr>
        <w:t>National Treasury.</w:t>
      </w:r>
      <w:proofErr w:type="gramEnd"/>
      <w:r>
        <w:rPr>
          <w:rFonts w:ascii="Calibri" w:hAnsi="Calibri" w:cs="Calibri"/>
        </w:rPr>
        <w:t xml:space="preserve"> </w:t>
      </w:r>
      <w:proofErr w:type="gramStart"/>
      <w:r>
        <w:rPr>
          <w:rFonts w:ascii="Calibri" w:hAnsi="Calibri" w:cs="Calibri"/>
        </w:rPr>
        <w:t>(2015) Draft Carbon Tax Bill.</w:t>
      </w:r>
      <w:proofErr w:type="gramEnd"/>
      <w:r>
        <w:rPr>
          <w:rFonts w:ascii="Calibri" w:hAnsi="Calibri" w:cs="Calibri"/>
        </w:rPr>
        <w:t xml:space="preserve"> National Treasury, Pretoria. Issued on 2 November 2015 and introduced in the National Assembly by the Minister of Finance.</w:t>
      </w:r>
    </w:p>
    <w:p w14:paraId="60FB5EE5" w14:textId="77777777" w:rsidR="004874BF" w:rsidRPr="002957D8" w:rsidRDefault="004874BF" w:rsidP="004874BF">
      <w:pPr>
        <w:spacing w:after="120" w:line="360" w:lineRule="auto"/>
        <w:ind w:firstLine="567"/>
        <w:rPr>
          <w:rFonts w:ascii="Calibri" w:hAnsi="Calibri" w:cs="Calibri"/>
        </w:rPr>
      </w:pPr>
      <w:proofErr w:type="gramStart"/>
      <w:r w:rsidRPr="002957D8">
        <w:rPr>
          <w:rFonts w:ascii="Calibri" w:hAnsi="Calibri" w:cs="Calibri"/>
        </w:rPr>
        <w:t>National Treasury.</w:t>
      </w:r>
      <w:proofErr w:type="gramEnd"/>
      <w:r w:rsidRPr="002957D8">
        <w:rPr>
          <w:rFonts w:ascii="Calibri" w:hAnsi="Calibri" w:cs="Calibri"/>
        </w:rPr>
        <w:t xml:space="preserve"> (2016) Budget Review 2016. National Treasury, Pretoria. Published on 24 February 2016 and available online at www.treasury.gov.za</w:t>
      </w:r>
    </w:p>
    <w:p w14:paraId="267460C4" w14:textId="77777777" w:rsidR="007010F7" w:rsidRPr="007010F7" w:rsidRDefault="007010F7" w:rsidP="007010F7">
      <w:pPr>
        <w:spacing w:after="120" w:line="360" w:lineRule="auto"/>
        <w:ind w:firstLine="562"/>
        <w:rPr>
          <w:rFonts w:ascii="Calibri" w:hAnsi="Calibri" w:cs="Calibri"/>
        </w:rPr>
      </w:pPr>
      <w:r w:rsidRPr="007010F7">
        <w:rPr>
          <w:rFonts w:ascii="Calibri" w:hAnsi="Calibri" w:cs="Calibri"/>
        </w:rPr>
        <w:t>Pauw, K. 2007. Economy-wide modelling: An input into the Long Term Mitigation Scenarios process, LTMS Input Report 4. Cape Town, Energy Research Centre</w:t>
      </w:r>
    </w:p>
    <w:p w14:paraId="59B1166B" w14:textId="77777777" w:rsidR="004874BF" w:rsidRPr="002957D8" w:rsidRDefault="004874BF" w:rsidP="004874BF">
      <w:pPr>
        <w:spacing w:after="120" w:line="360" w:lineRule="auto"/>
        <w:ind w:firstLine="567"/>
        <w:rPr>
          <w:rFonts w:ascii="Calibri" w:hAnsi="Calibri" w:cs="Calibri"/>
        </w:rPr>
      </w:pPr>
      <w:r w:rsidRPr="002957D8">
        <w:rPr>
          <w:rFonts w:ascii="Calibri" w:hAnsi="Calibri" w:cs="Calibri"/>
        </w:rPr>
        <w:t xml:space="preserve">Seymore, R., Inglesi-Lotz, R. and Blignaut, J.N. (2014) </w:t>
      </w:r>
      <w:proofErr w:type="gramStart"/>
      <w:r w:rsidRPr="002957D8">
        <w:rPr>
          <w:rFonts w:ascii="Calibri" w:hAnsi="Calibri" w:cs="Calibri"/>
        </w:rPr>
        <w:t>A</w:t>
      </w:r>
      <w:proofErr w:type="gramEnd"/>
      <w:r w:rsidRPr="002957D8">
        <w:rPr>
          <w:rFonts w:ascii="Calibri" w:hAnsi="Calibri" w:cs="Calibri"/>
        </w:rPr>
        <w:t xml:space="preserve"> Greenhouse Gas Emissions Inventory for South Africa: A Comparative Analysis. Renewable &amp; Sustainable Energy Reviews, 34:371-379.</w:t>
      </w:r>
    </w:p>
    <w:p w14:paraId="79B5F131" w14:textId="77777777" w:rsidR="004874BF" w:rsidRPr="002957D8" w:rsidRDefault="004874BF" w:rsidP="004874BF">
      <w:pPr>
        <w:spacing w:after="120" w:line="360" w:lineRule="auto"/>
        <w:ind w:firstLine="567"/>
        <w:rPr>
          <w:rFonts w:ascii="Calibri" w:hAnsi="Calibri" w:cs="Calibri"/>
        </w:rPr>
      </w:pPr>
      <w:r w:rsidRPr="002957D8">
        <w:rPr>
          <w:rFonts w:ascii="Calibri" w:hAnsi="Calibri" w:cs="Calibri"/>
        </w:rPr>
        <w:t>Statistics South Africa (</w:t>
      </w:r>
      <w:proofErr w:type="spellStart"/>
      <w:r w:rsidRPr="002957D8">
        <w:rPr>
          <w:rFonts w:ascii="Calibri" w:hAnsi="Calibri" w:cs="Calibri"/>
        </w:rPr>
        <w:t>StatsSA</w:t>
      </w:r>
      <w:proofErr w:type="spellEnd"/>
      <w:r w:rsidRPr="002957D8">
        <w:rPr>
          <w:rFonts w:ascii="Calibri" w:hAnsi="Calibri" w:cs="Calibri"/>
        </w:rPr>
        <w:t>). (2014) Gross Domestic Product, Fourth Quarter 2013. Statistical Release P0441. Statistics South Africa, Pretoria.</w:t>
      </w:r>
    </w:p>
    <w:p w14:paraId="20669CEF" w14:textId="77777777" w:rsidR="0023441D" w:rsidRPr="002957D8" w:rsidRDefault="0023441D" w:rsidP="0023441D">
      <w:pPr>
        <w:spacing w:after="120" w:line="360" w:lineRule="auto"/>
        <w:ind w:firstLine="567"/>
        <w:rPr>
          <w:rFonts w:ascii="Calibri" w:hAnsi="Calibri" w:cs="Calibri"/>
        </w:rPr>
      </w:pPr>
      <w:r>
        <w:rPr>
          <w:rFonts w:ascii="Calibri" w:hAnsi="Calibri" w:cs="Calibri"/>
        </w:rPr>
        <w:t xml:space="preserve">Stern, N. (2008) </w:t>
      </w:r>
      <w:proofErr w:type="gramStart"/>
      <w:r>
        <w:rPr>
          <w:rFonts w:ascii="Calibri" w:hAnsi="Calibri" w:cs="Calibri"/>
        </w:rPr>
        <w:t>The</w:t>
      </w:r>
      <w:proofErr w:type="gramEnd"/>
      <w:r>
        <w:rPr>
          <w:rFonts w:ascii="Calibri" w:hAnsi="Calibri" w:cs="Calibri"/>
        </w:rPr>
        <w:t xml:space="preserve"> Economics of Climate Change. Richard T. Ely Lecture published in American Economic Review, 98(2):1-37.</w:t>
      </w:r>
    </w:p>
    <w:p w14:paraId="53F2DB56" w14:textId="77777777" w:rsidR="004874BF" w:rsidRDefault="004874BF" w:rsidP="004874BF">
      <w:pPr>
        <w:spacing w:after="120" w:line="360" w:lineRule="auto"/>
        <w:ind w:firstLine="567"/>
        <w:rPr>
          <w:rFonts w:ascii="Calibri" w:hAnsi="Calibri" w:cs="Calibri"/>
        </w:rPr>
      </w:pPr>
      <w:r w:rsidRPr="002957D8">
        <w:rPr>
          <w:rFonts w:ascii="Calibri" w:hAnsi="Calibri" w:cs="Calibri"/>
        </w:rPr>
        <w:lastRenderedPageBreak/>
        <w:t xml:space="preserve">Van </w:t>
      </w:r>
      <w:proofErr w:type="spellStart"/>
      <w:r w:rsidRPr="002957D8">
        <w:rPr>
          <w:rFonts w:ascii="Calibri" w:hAnsi="Calibri" w:cs="Calibri"/>
        </w:rPr>
        <w:t>Heerden</w:t>
      </w:r>
      <w:proofErr w:type="spellEnd"/>
      <w:r w:rsidRPr="002957D8">
        <w:rPr>
          <w:rFonts w:ascii="Calibri" w:hAnsi="Calibri" w:cs="Calibri"/>
        </w:rPr>
        <w:t xml:space="preserve">, J.H, </w:t>
      </w:r>
      <w:proofErr w:type="spellStart"/>
      <w:r w:rsidRPr="002957D8">
        <w:rPr>
          <w:rFonts w:ascii="Calibri" w:hAnsi="Calibri" w:cs="Calibri"/>
        </w:rPr>
        <w:t>Gerlagh</w:t>
      </w:r>
      <w:proofErr w:type="spellEnd"/>
      <w:r w:rsidRPr="002957D8">
        <w:rPr>
          <w:rFonts w:ascii="Calibri" w:hAnsi="Calibri" w:cs="Calibri"/>
        </w:rPr>
        <w:t xml:space="preserve">, R., </w:t>
      </w:r>
      <w:proofErr w:type="spellStart"/>
      <w:r w:rsidRPr="002957D8">
        <w:rPr>
          <w:rFonts w:ascii="Calibri" w:hAnsi="Calibri" w:cs="Calibri"/>
        </w:rPr>
        <w:t>Blignaut</w:t>
      </w:r>
      <w:proofErr w:type="spellEnd"/>
      <w:r w:rsidRPr="002957D8">
        <w:rPr>
          <w:rFonts w:ascii="Calibri" w:hAnsi="Calibri" w:cs="Calibri"/>
        </w:rPr>
        <w:t xml:space="preserve">, J.N, </w:t>
      </w:r>
      <w:proofErr w:type="spellStart"/>
      <w:r w:rsidRPr="002957D8">
        <w:rPr>
          <w:rFonts w:ascii="Calibri" w:hAnsi="Calibri" w:cs="Calibri"/>
        </w:rPr>
        <w:t>Horridge</w:t>
      </w:r>
      <w:proofErr w:type="spellEnd"/>
      <w:r w:rsidRPr="002957D8">
        <w:rPr>
          <w:rFonts w:ascii="Calibri" w:hAnsi="Calibri" w:cs="Calibri"/>
        </w:rPr>
        <w:t xml:space="preserve">, J.M., Hess, S., </w:t>
      </w:r>
      <w:proofErr w:type="spellStart"/>
      <w:r w:rsidRPr="002957D8">
        <w:rPr>
          <w:rFonts w:ascii="Calibri" w:hAnsi="Calibri" w:cs="Calibri"/>
        </w:rPr>
        <w:t>Mabugu</w:t>
      </w:r>
      <w:proofErr w:type="spellEnd"/>
      <w:r w:rsidRPr="002957D8">
        <w:rPr>
          <w:rFonts w:ascii="Calibri" w:hAnsi="Calibri" w:cs="Calibri"/>
        </w:rPr>
        <w:t xml:space="preserve">, R.M and </w:t>
      </w:r>
      <w:proofErr w:type="spellStart"/>
      <w:r w:rsidRPr="002957D8">
        <w:rPr>
          <w:rFonts w:ascii="Calibri" w:hAnsi="Calibri" w:cs="Calibri"/>
        </w:rPr>
        <w:t>Mabugu</w:t>
      </w:r>
      <w:proofErr w:type="spellEnd"/>
      <w:r w:rsidRPr="002957D8">
        <w:rPr>
          <w:rFonts w:ascii="Calibri" w:hAnsi="Calibri" w:cs="Calibri"/>
        </w:rPr>
        <w:t>, M.R. (2006) Searching for Triple Dividends in South Africa: Fighting CO2 Pollution and Poverty while Promoting Growth. The Energy Journal, 27(2):113-141.</w:t>
      </w:r>
    </w:p>
    <w:p w14:paraId="165F6073" w14:textId="77777777" w:rsidR="0023441D" w:rsidRPr="002957D8" w:rsidRDefault="0023441D" w:rsidP="0023441D">
      <w:pPr>
        <w:spacing w:after="120" w:line="360" w:lineRule="auto"/>
        <w:ind w:firstLine="567"/>
        <w:rPr>
          <w:rFonts w:ascii="Calibri" w:hAnsi="Calibri" w:cs="Calibri"/>
        </w:rPr>
      </w:pPr>
      <w:proofErr w:type="gramStart"/>
      <w:r>
        <w:rPr>
          <w:rFonts w:ascii="Calibri" w:hAnsi="Calibri" w:cs="Calibri"/>
        </w:rPr>
        <w:t>Wagner, G. and Weitzman, M.L. 2015.</w:t>
      </w:r>
      <w:proofErr w:type="gramEnd"/>
      <w:r>
        <w:rPr>
          <w:rFonts w:ascii="Calibri" w:hAnsi="Calibri" w:cs="Calibri"/>
        </w:rPr>
        <w:t xml:space="preserve"> Climate Shock: The Economic Consequences of a Hotter Planet. </w:t>
      </w:r>
      <w:proofErr w:type="gramStart"/>
      <w:r>
        <w:rPr>
          <w:rFonts w:ascii="Calibri" w:hAnsi="Calibri" w:cs="Calibri"/>
        </w:rPr>
        <w:t>Princeton University Press.</w:t>
      </w:r>
      <w:proofErr w:type="gramEnd"/>
    </w:p>
    <w:p w14:paraId="43AE722F" w14:textId="77777777" w:rsidR="0023441D" w:rsidRPr="002957D8" w:rsidRDefault="0023441D" w:rsidP="004874BF">
      <w:pPr>
        <w:spacing w:after="120" w:line="360" w:lineRule="auto"/>
        <w:ind w:firstLine="567"/>
        <w:rPr>
          <w:rFonts w:ascii="Calibri" w:hAnsi="Calibri" w:cs="Calibri"/>
        </w:rPr>
      </w:pPr>
    </w:p>
    <w:p w14:paraId="26D559DF" w14:textId="77777777" w:rsidR="004874BF" w:rsidRDefault="004874BF" w:rsidP="004874BF">
      <w:pPr>
        <w:widowControl w:val="0"/>
        <w:autoSpaceDE w:val="0"/>
        <w:autoSpaceDN w:val="0"/>
        <w:adjustRightInd w:val="0"/>
        <w:rPr>
          <w:rFonts w:ascii="Arial" w:eastAsia="Arial Unicode MS" w:hAnsi="Arial" w:cs="Arial"/>
          <w:b/>
        </w:rPr>
      </w:pPr>
    </w:p>
    <w:p w14:paraId="61E57B81" w14:textId="77777777" w:rsidR="004874BF" w:rsidRDefault="004874BF" w:rsidP="004874BF">
      <w:pPr>
        <w:rPr>
          <w:rFonts w:ascii="Arial" w:hAnsi="Arial" w:cs="Arial"/>
          <w:b/>
        </w:rPr>
        <w:sectPr w:rsidR="004874BF" w:rsidSect="00060C3E">
          <w:footerReference w:type="even" r:id="rId19"/>
          <w:pgSz w:w="11900" w:h="16820"/>
          <w:pgMar w:top="1440" w:right="1134" w:bottom="1440" w:left="1134" w:header="709" w:footer="387" w:gutter="0"/>
          <w:cols w:space="708"/>
          <w:titlePg/>
          <w:docGrid w:linePitch="360"/>
        </w:sectPr>
      </w:pPr>
    </w:p>
    <w:p w14:paraId="32AA6725" w14:textId="49D93E56" w:rsidR="00964BA1" w:rsidRPr="00324F0E" w:rsidRDefault="002B25CE" w:rsidP="00964BA1">
      <w:pPr>
        <w:rPr>
          <w:b/>
        </w:rPr>
      </w:pPr>
      <w:bookmarkStart w:id="39" w:name="_Toc398236594"/>
      <w:bookmarkStart w:id="40" w:name="_Toc398236702"/>
      <w:bookmarkStart w:id="41" w:name="_Toc398236762"/>
      <w:bookmarkStart w:id="42" w:name="_Toc399860282"/>
      <w:bookmarkStart w:id="43" w:name="_Toc399860400"/>
      <w:r>
        <w:rPr>
          <w:b/>
        </w:rPr>
        <w:lastRenderedPageBreak/>
        <w:t xml:space="preserve">APPENDIX A. Summary of the energy database used in the CGE model. </w:t>
      </w:r>
    </w:p>
    <w:p w14:paraId="4E43CE7B" w14:textId="77777777" w:rsidR="004874BF" w:rsidRDefault="004874BF" w:rsidP="004874BF">
      <w:pPr>
        <w:pStyle w:val="Caption"/>
        <w:keepNext/>
        <w:tabs>
          <w:tab w:val="left" w:pos="993"/>
        </w:tabs>
        <w:ind w:left="990" w:hanging="990"/>
      </w:pPr>
      <w:r>
        <w:t xml:space="preserve">Table </w:t>
      </w:r>
      <w:r w:rsidR="00D369EE">
        <w:t>A1</w:t>
      </w:r>
      <w:r>
        <w:t xml:space="preserve">: </w:t>
      </w:r>
      <w:r>
        <w:tab/>
      </w:r>
      <w:r w:rsidRPr="00E76C2D">
        <w:t>Energy consumption (in TJ) by fuel and effective tax rate (R/TJ) by fuel and per sector after making provision for the tax free exemption thresholds</w:t>
      </w:r>
      <w:r>
        <w:t>.</w:t>
      </w:r>
      <w:bookmarkEnd w:id="39"/>
      <w:bookmarkEnd w:id="40"/>
      <w:bookmarkEnd w:id="41"/>
      <w:bookmarkEnd w:id="42"/>
      <w:bookmarkEnd w:id="43"/>
    </w:p>
    <w:tbl>
      <w:tblPr>
        <w:tblW w:w="8982"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9D9D9" w:themeFill="background1" w:themeFillShade="D9"/>
        <w:tblLayout w:type="fixed"/>
        <w:tblLook w:val="04A0" w:firstRow="1" w:lastRow="0" w:firstColumn="1" w:lastColumn="0" w:noHBand="0" w:noVBand="1"/>
      </w:tblPr>
      <w:tblGrid>
        <w:gridCol w:w="2127"/>
        <w:gridCol w:w="1134"/>
        <w:gridCol w:w="1026"/>
        <w:gridCol w:w="1094"/>
        <w:gridCol w:w="1026"/>
        <w:gridCol w:w="712"/>
        <w:gridCol w:w="712"/>
        <w:gridCol w:w="1151"/>
      </w:tblGrid>
      <w:tr w:rsidR="004874BF" w:rsidRPr="00FB35E4" w14:paraId="2E7261E8" w14:textId="77777777" w:rsidTr="00060C3E">
        <w:trPr>
          <w:trHeight w:val="300"/>
        </w:trPr>
        <w:tc>
          <w:tcPr>
            <w:tcW w:w="2127" w:type="dxa"/>
            <w:vMerge w:val="restart"/>
            <w:shd w:val="clear" w:color="auto" w:fill="D9D9D9" w:themeFill="background1" w:themeFillShade="D9"/>
            <w:noWrap/>
          </w:tcPr>
          <w:p w14:paraId="1A552EEF" w14:textId="77777777" w:rsidR="004874BF" w:rsidRPr="00FB35E4" w:rsidRDefault="004874BF" w:rsidP="00964BA1">
            <w:pPr>
              <w:spacing w:after="0" w:line="240" w:lineRule="auto"/>
              <w:rPr>
                <w:b/>
                <w:color w:val="002060"/>
                <w:sz w:val="18"/>
              </w:rPr>
            </w:pPr>
          </w:p>
        </w:tc>
        <w:tc>
          <w:tcPr>
            <w:tcW w:w="4280" w:type="dxa"/>
            <w:gridSpan w:val="4"/>
            <w:shd w:val="clear" w:color="auto" w:fill="D9D9D9" w:themeFill="background1" w:themeFillShade="D9"/>
          </w:tcPr>
          <w:p w14:paraId="50F65007" w14:textId="77777777" w:rsidR="004874BF" w:rsidRPr="00FB35E4" w:rsidRDefault="004874BF" w:rsidP="00964BA1">
            <w:pPr>
              <w:spacing w:after="0" w:line="240" w:lineRule="auto"/>
              <w:jc w:val="center"/>
              <w:rPr>
                <w:b/>
                <w:color w:val="002060"/>
                <w:sz w:val="18"/>
              </w:rPr>
            </w:pPr>
            <w:r w:rsidRPr="00FB35E4">
              <w:rPr>
                <w:b/>
                <w:color w:val="002060"/>
                <w:sz w:val="18"/>
              </w:rPr>
              <w:t>Fuel consumption (TJ) (2011)</w:t>
            </w:r>
          </w:p>
        </w:tc>
        <w:tc>
          <w:tcPr>
            <w:tcW w:w="2575" w:type="dxa"/>
            <w:gridSpan w:val="3"/>
            <w:shd w:val="clear" w:color="auto" w:fill="D9D9D9" w:themeFill="background1" w:themeFillShade="D9"/>
            <w:noWrap/>
          </w:tcPr>
          <w:p w14:paraId="14690825" w14:textId="77777777" w:rsidR="004874BF" w:rsidRPr="00FB35E4" w:rsidRDefault="004874BF" w:rsidP="00964BA1">
            <w:pPr>
              <w:spacing w:after="0" w:line="240" w:lineRule="auto"/>
              <w:jc w:val="center"/>
              <w:rPr>
                <w:b/>
                <w:color w:val="002060"/>
                <w:sz w:val="18"/>
              </w:rPr>
            </w:pPr>
            <w:r w:rsidRPr="00FB35E4">
              <w:rPr>
                <w:b/>
                <w:color w:val="002060"/>
                <w:sz w:val="18"/>
              </w:rPr>
              <w:t>Effective tax rate (R/TJ) (2016)</w:t>
            </w:r>
          </w:p>
          <w:p w14:paraId="1C6A20A0" w14:textId="77777777" w:rsidR="004874BF" w:rsidRPr="00FB35E4" w:rsidRDefault="004874BF" w:rsidP="00964BA1">
            <w:pPr>
              <w:spacing w:after="0" w:line="240" w:lineRule="auto"/>
              <w:jc w:val="center"/>
              <w:rPr>
                <w:b/>
                <w:color w:val="002060"/>
                <w:sz w:val="18"/>
              </w:rPr>
            </w:pPr>
            <w:r w:rsidRPr="00FB35E4">
              <w:rPr>
                <w:b/>
                <w:color w:val="002060"/>
                <w:sz w:val="18"/>
              </w:rPr>
              <w:t>(after applying the tax free thresholds)</w:t>
            </w:r>
          </w:p>
        </w:tc>
      </w:tr>
      <w:tr w:rsidR="004874BF" w:rsidRPr="00FB35E4" w14:paraId="06196DEA" w14:textId="77777777" w:rsidTr="00060C3E">
        <w:trPr>
          <w:trHeight w:val="300"/>
        </w:trPr>
        <w:tc>
          <w:tcPr>
            <w:tcW w:w="2127" w:type="dxa"/>
            <w:vMerge/>
            <w:shd w:val="clear" w:color="auto" w:fill="D9D9D9" w:themeFill="background1" w:themeFillShade="D9"/>
            <w:noWrap/>
            <w:hideMark/>
          </w:tcPr>
          <w:p w14:paraId="7522DB91" w14:textId="77777777" w:rsidR="004874BF" w:rsidRPr="00FB35E4" w:rsidRDefault="004874BF" w:rsidP="00964BA1">
            <w:pPr>
              <w:spacing w:after="0" w:line="240" w:lineRule="auto"/>
              <w:rPr>
                <w:b/>
                <w:color w:val="002060"/>
                <w:sz w:val="18"/>
              </w:rPr>
            </w:pPr>
          </w:p>
        </w:tc>
        <w:tc>
          <w:tcPr>
            <w:tcW w:w="1134" w:type="dxa"/>
            <w:shd w:val="clear" w:color="auto" w:fill="D9D9D9" w:themeFill="background1" w:themeFillShade="D9"/>
          </w:tcPr>
          <w:p w14:paraId="554E4528" w14:textId="77777777" w:rsidR="004874BF" w:rsidRPr="00FB35E4" w:rsidRDefault="004874BF" w:rsidP="00964BA1">
            <w:pPr>
              <w:spacing w:after="0" w:line="240" w:lineRule="auto"/>
              <w:jc w:val="center"/>
              <w:rPr>
                <w:b/>
                <w:color w:val="002060"/>
                <w:sz w:val="18"/>
              </w:rPr>
            </w:pPr>
            <w:r w:rsidRPr="00FB35E4">
              <w:rPr>
                <w:b/>
                <w:color w:val="002060"/>
                <w:sz w:val="18"/>
              </w:rPr>
              <w:t>Coal</w:t>
            </w:r>
          </w:p>
        </w:tc>
        <w:tc>
          <w:tcPr>
            <w:tcW w:w="1026" w:type="dxa"/>
            <w:shd w:val="clear" w:color="auto" w:fill="D9D9D9" w:themeFill="background1" w:themeFillShade="D9"/>
          </w:tcPr>
          <w:p w14:paraId="36BFF68F" w14:textId="77777777" w:rsidR="004874BF" w:rsidRPr="00FB35E4" w:rsidRDefault="004874BF" w:rsidP="00964BA1">
            <w:pPr>
              <w:spacing w:after="0" w:line="240" w:lineRule="auto"/>
              <w:jc w:val="center"/>
              <w:rPr>
                <w:b/>
                <w:color w:val="002060"/>
                <w:sz w:val="18"/>
              </w:rPr>
            </w:pPr>
            <w:r w:rsidRPr="00FB35E4">
              <w:rPr>
                <w:b/>
                <w:color w:val="002060"/>
                <w:sz w:val="18"/>
              </w:rPr>
              <w:t>Gas</w:t>
            </w:r>
          </w:p>
        </w:tc>
        <w:tc>
          <w:tcPr>
            <w:tcW w:w="1094" w:type="dxa"/>
            <w:shd w:val="clear" w:color="auto" w:fill="D9D9D9" w:themeFill="background1" w:themeFillShade="D9"/>
          </w:tcPr>
          <w:p w14:paraId="7D629C6B" w14:textId="77777777" w:rsidR="004874BF" w:rsidRPr="00FB35E4" w:rsidRDefault="004874BF" w:rsidP="00964BA1">
            <w:pPr>
              <w:spacing w:after="0" w:line="240" w:lineRule="auto"/>
              <w:jc w:val="center"/>
              <w:rPr>
                <w:b/>
                <w:color w:val="002060"/>
                <w:sz w:val="18"/>
              </w:rPr>
            </w:pPr>
            <w:r w:rsidRPr="00FB35E4">
              <w:rPr>
                <w:b/>
                <w:color w:val="002060"/>
                <w:sz w:val="18"/>
              </w:rPr>
              <w:t>Petroleum</w:t>
            </w:r>
          </w:p>
        </w:tc>
        <w:tc>
          <w:tcPr>
            <w:tcW w:w="1026" w:type="dxa"/>
            <w:shd w:val="clear" w:color="auto" w:fill="D9D9D9" w:themeFill="background1" w:themeFillShade="D9"/>
          </w:tcPr>
          <w:p w14:paraId="4B17B838" w14:textId="77777777" w:rsidR="004874BF" w:rsidRPr="00FB35E4" w:rsidRDefault="004874BF" w:rsidP="00964BA1">
            <w:pPr>
              <w:spacing w:after="0" w:line="240" w:lineRule="auto"/>
              <w:jc w:val="center"/>
              <w:rPr>
                <w:b/>
                <w:color w:val="002060"/>
                <w:sz w:val="18"/>
              </w:rPr>
            </w:pPr>
            <w:r w:rsidRPr="00FB35E4">
              <w:rPr>
                <w:b/>
                <w:color w:val="002060"/>
                <w:sz w:val="18"/>
              </w:rPr>
              <w:t>Total</w:t>
            </w:r>
          </w:p>
        </w:tc>
        <w:tc>
          <w:tcPr>
            <w:tcW w:w="712" w:type="dxa"/>
            <w:shd w:val="clear" w:color="auto" w:fill="D9D9D9" w:themeFill="background1" w:themeFillShade="D9"/>
            <w:noWrap/>
            <w:hideMark/>
          </w:tcPr>
          <w:p w14:paraId="68032637" w14:textId="77777777" w:rsidR="004874BF" w:rsidRPr="00FB35E4" w:rsidRDefault="004874BF" w:rsidP="00964BA1">
            <w:pPr>
              <w:spacing w:after="0" w:line="240" w:lineRule="auto"/>
              <w:jc w:val="center"/>
              <w:rPr>
                <w:b/>
                <w:color w:val="002060"/>
                <w:sz w:val="18"/>
              </w:rPr>
            </w:pPr>
            <w:r w:rsidRPr="00FB35E4">
              <w:rPr>
                <w:b/>
                <w:color w:val="002060"/>
                <w:sz w:val="18"/>
              </w:rPr>
              <w:t>Coal</w:t>
            </w:r>
          </w:p>
        </w:tc>
        <w:tc>
          <w:tcPr>
            <w:tcW w:w="712" w:type="dxa"/>
            <w:shd w:val="clear" w:color="auto" w:fill="D9D9D9" w:themeFill="background1" w:themeFillShade="D9"/>
            <w:noWrap/>
            <w:hideMark/>
          </w:tcPr>
          <w:p w14:paraId="5BDDFF12" w14:textId="77777777" w:rsidR="004874BF" w:rsidRPr="00FB35E4" w:rsidRDefault="004874BF" w:rsidP="00964BA1">
            <w:pPr>
              <w:spacing w:after="0" w:line="240" w:lineRule="auto"/>
              <w:jc w:val="center"/>
              <w:rPr>
                <w:b/>
                <w:color w:val="002060"/>
                <w:sz w:val="18"/>
              </w:rPr>
            </w:pPr>
            <w:r w:rsidRPr="00FB35E4">
              <w:rPr>
                <w:b/>
                <w:color w:val="002060"/>
                <w:sz w:val="18"/>
              </w:rPr>
              <w:t>Gas</w:t>
            </w:r>
          </w:p>
        </w:tc>
        <w:tc>
          <w:tcPr>
            <w:tcW w:w="1151" w:type="dxa"/>
            <w:shd w:val="clear" w:color="auto" w:fill="D9D9D9" w:themeFill="background1" w:themeFillShade="D9"/>
            <w:noWrap/>
            <w:hideMark/>
          </w:tcPr>
          <w:p w14:paraId="6E8F2F60" w14:textId="77777777" w:rsidR="004874BF" w:rsidRPr="00FB35E4" w:rsidRDefault="004874BF" w:rsidP="00964BA1">
            <w:pPr>
              <w:spacing w:after="0" w:line="240" w:lineRule="auto"/>
              <w:jc w:val="center"/>
              <w:rPr>
                <w:b/>
                <w:color w:val="002060"/>
                <w:sz w:val="18"/>
              </w:rPr>
            </w:pPr>
            <w:r w:rsidRPr="00FB35E4">
              <w:rPr>
                <w:b/>
                <w:color w:val="002060"/>
                <w:sz w:val="18"/>
              </w:rPr>
              <w:t>Petroleum</w:t>
            </w:r>
          </w:p>
        </w:tc>
      </w:tr>
      <w:tr w:rsidR="004874BF" w:rsidRPr="00FB35E4" w14:paraId="74F5B03C" w14:textId="77777777" w:rsidTr="00060C3E">
        <w:trPr>
          <w:trHeight w:val="300"/>
        </w:trPr>
        <w:tc>
          <w:tcPr>
            <w:tcW w:w="8982" w:type="dxa"/>
            <w:gridSpan w:val="8"/>
            <w:shd w:val="clear" w:color="auto" w:fill="D9D9D9" w:themeFill="background1" w:themeFillShade="D9"/>
            <w:noWrap/>
          </w:tcPr>
          <w:p w14:paraId="189A5D30" w14:textId="77777777" w:rsidR="004874BF" w:rsidRPr="00FB35E4" w:rsidRDefault="004874BF" w:rsidP="00964BA1">
            <w:pPr>
              <w:spacing w:after="0" w:line="240" w:lineRule="auto"/>
              <w:rPr>
                <w:b/>
                <w:color w:val="002060"/>
                <w:sz w:val="18"/>
              </w:rPr>
            </w:pPr>
            <w:r w:rsidRPr="00FB35E4">
              <w:rPr>
                <w:b/>
                <w:color w:val="002060"/>
                <w:sz w:val="18"/>
              </w:rPr>
              <w:t>SIC1 – AGRICULTURE</w:t>
            </w:r>
          </w:p>
        </w:tc>
      </w:tr>
      <w:tr w:rsidR="004874BF" w:rsidRPr="00FB35E4" w14:paraId="3CDBE95B" w14:textId="77777777" w:rsidTr="00060C3E">
        <w:trPr>
          <w:trHeight w:val="300"/>
        </w:trPr>
        <w:tc>
          <w:tcPr>
            <w:tcW w:w="2127" w:type="dxa"/>
            <w:shd w:val="clear" w:color="auto" w:fill="F2F2F2" w:themeFill="background1" w:themeFillShade="F2"/>
            <w:noWrap/>
          </w:tcPr>
          <w:p w14:paraId="1076D7AC" w14:textId="77777777" w:rsidR="004874BF" w:rsidRPr="00FB35E4" w:rsidRDefault="004874BF" w:rsidP="00964BA1">
            <w:pPr>
              <w:spacing w:after="0" w:line="240" w:lineRule="auto"/>
              <w:rPr>
                <w:color w:val="002060"/>
                <w:sz w:val="18"/>
              </w:rPr>
            </w:pPr>
            <w:r w:rsidRPr="00FB35E4">
              <w:rPr>
                <w:color w:val="002060"/>
                <w:sz w:val="18"/>
              </w:rPr>
              <w:t>Agriculture</w:t>
            </w:r>
          </w:p>
        </w:tc>
        <w:tc>
          <w:tcPr>
            <w:tcW w:w="1134" w:type="dxa"/>
            <w:shd w:val="clear" w:color="auto" w:fill="F2F2F2" w:themeFill="background1" w:themeFillShade="F2"/>
          </w:tcPr>
          <w:p w14:paraId="3A3CAE49" w14:textId="77777777" w:rsidR="004874BF" w:rsidRPr="00FB35E4" w:rsidRDefault="004874BF" w:rsidP="00964BA1">
            <w:pPr>
              <w:spacing w:after="0" w:line="240" w:lineRule="auto"/>
              <w:jc w:val="center"/>
              <w:rPr>
                <w:color w:val="002060"/>
                <w:sz w:val="18"/>
              </w:rPr>
            </w:pPr>
            <w:r w:rsidRPr="00FB35E4">
              <w:rPr>
                <w:color w:val="002060"/>
                <w:sz w:val="18"/>
              </w:rPr>
              <w:t>289</w:t>
            </w:r>
          </w:p>
        </w:tc>
        <w:tc>
          <w:tcPr>
            <w:tcW w:w="1026" w:type="dxa"/>
            <w:shd w:val="clear" w:color="auto" w:fill="F2F2F2" w:themeFill="background1" w:themeFillShade="F2"/>
          </w:tcPr>
          <w:p w14:paraId="44F70754" w14:textId="77777777" w:rsidR="004874BF" w:rsidRPr="00FB35E4" w:rsidRDefault="004874BF" w:rsidP="00964BA1">
            <w:pPr>
              <w:spacing w:after="0" w:line="240" w:lineRule="auto"/>
              <w:jc w:val="center"/>
              <w:rPr>
                <w:color w:val="002060"/>
                <w:sz w:val="18"/>
              </w:rPr>
            </w:pPr>
            <w:r w:rsidRPr="00FB35E4">
              <w:rPr>
                <w:color w:val="002060"/>
                <w:sz w:val="18"/>
              </w:rPr>
              <w:t>27 027</w:t>
            </w:r>
          </w:p>
        </w:tc>
        <w:tc>
          <w:tcPr>
            <w:tcW w:w="1094" w:type="dxa"/>
            <w:shd w:val="clear" w:color="auto" w:fill="F2F2F2" w:themeFill="background1" w:themeFillShade="F2"/>
          </w:tcPr>
          <w:p w14:paraId="53E0EF11" w14:textId="77777777" w:rsidR="004874BF" w:rsidRPr="00FB35E4" w:rsidRDefault="004874BF" w:rsidP="00964BA1">
            <w:pPr>
              <w:spacing w:after="0" w:line="240" w:lineRule="auto"/>
              <w:jc w:val="center"/>
              <w:rPr>
                <w:color w:val="002060"/>
                <w:sz w:val="18"/>
              </w:rPr>
            </w:pPr>
            <w:r w:rsidRPr="00FB35E4">
              <w:rPr>
                <w:color w:val="002060"/>
                <w:sz w:val="18"/>
              </w:rPr>
              <w:t>36 439</w:t>
            </w:r>
          </w:p>
        </w:tc>
        <w:tc>
          <w:tcPr>
            <w:tcW w:w="1026" w:type="dxa"/>
            <w:shd w:val="clear" w:color="auto" w:fill="D9D9D9" w:themeFill="background1" w:themeFillShade="D9"/>
          </w:tcPr>
          <w:p w14:paraId="774038F0" w14:textId="77777777" w:rsidR="004874BF" w:rsidRPr="00553A3B" w:rsidRDefault="004874BF" w:rsidP="00964BA1">
            <w:pPr>
              <w:spacing w:after="0" w:line="240" w:lineRule="auto"/>
              <w:jc w:val="center"/>
              <w:rPr>
                <w:b/>
                <w:color w:val="002060"/>
                <w:sz w:val="18"/>
              </w:rPr>
            </w:pPr>
            <w:r w:rsidRPr="00553A3B">
              <w:rPr>
                <w:b/>
                <w:color w:val="002060"/>
                <w:sz w:val="18"/>
              </w:rPr>
              <w:t>63 755</w:t>
            </w:r>
          </w:p>
        </w:tc>
        <w:tc>
          <w:tcPr>
            <w:tcW w:w="712" w:type="dxa"/>
            <w:shd w:val="clear" w:color="auto" w:fill="F2F2F2" w:themeFill="background1" w:themeFillShade="F2"/>
            <w:noWrap/>
          </w:tcPr>
          <w:p w14:paraId="75D54040" w14:textId="77777777" w:rsidR="004874BF" w:rsidRPr="00FB35E4" w:rsidRDefault="004874BF" w:rsidP="00964BA1">
            <w:pPr>
              <w:spacing w:after="0" w:line="240" w:lineRule="auto"/>
              <w:jc w:val="center"/>
              <w:rPr>
                <w:color w:val="002060"/>
                <w:sz w:val="18"/>
              </w:rPr>
            </w:pPr>
            <w:r w:rsidRPr="00FB35E4">
              <w:rPr>
                <w:color w:val="002060"/>
                <w:sz w:val="18"/>
              </w:rPr>
              <w:t>0</w:t>
            </w:r>
          </w:p>
        </w:tc>
        <w:tc>
          <w:tcPr>
            <w:tcW w:w="712" w:type="dxa"/>
            <w:shd w:val="clear" w:color="auto" w:fill="F2F2F2" w:themeFill="background1" w:themeFillShade="F2"/>
            <w:noWrap/>
          </w:tcPr>
          <w:p w14:paraId="110EDB34" w14:textId="77777777" w:rsidR="004874BF" w:rsidRPr="00FB35E4" w:rsidRDefault="004874BF" w:rsidP="00964BA1">
            <w:pPr>
              <w:spacing w:after="0" w:line="240" w:lineRule="auto"/>
              <w:jc w:val="center"/>
              <w:rPr>
                <w:color w:val="002060"/>
                <w:sz w:val="18"/>
              </w:rPr>
            </w:pPr>
            <w:r w:rsidRPr="00FB35E4">
              <w:rPr>
                <w:color w:val="002060"/>
                <w:sz w:val="18"/>
              </w:rPr>
              <w:t>0</w:t>
            </w:r>
          </w:p>
        </w:tc>
        <w:tc>
          <w:tcPr>
            <w:tcW w:w="1151" w:type="dxa"/>
            <w:shd w:val="clear" w:color="auto" w:fill="F2F2F2" w:themeFill="background1" w:themeFillShade="F2"/>
            <w:noWrap/>
          </w:tcPr>
          <w:p w14:paraId="01FC086D" w14:textId="77777777" w:rsidR="004874BF" w:rsidRPr="00FB35E4" w:rsidRDefault="004874BF" w:rsidP="00964BA1">
            <w:pPr>
              <w:spacing w:after="0" w:line="240" w:lineRule="auto"/>
              <w:jc w:val="center"/>
              <w:rPr>
                <w:color w:val="002060"/>
                <w:sz w:val="18"/>
              </w:rPr>
            </w:pPr>
            <w:r w:rsidRPr="00FB35E4">
              <w:rPr>
                <w:color w:val="002060"/>
                <w:sz w:val="18"/>
              </w:rPr>
              <w:t>0</w:t>
            </w:r>
          </w:p>
        </w:tc>
      </w:tr>
      <w:tr w:rsidR="004874BF" w:rsidRPr="00FB35E4" w14:paraId="78146D73" w14:textId="77777777" w:rsidTr="00060C3E">
        <w:trPr>
          <w:trHeight w:val="300"/>
        </w:trPr>
        <w:tc>
          <w:tcPr>
            <w:tcW w:w="2127" w:type="dxa"/>
            <w:shd w:val="clear" w:color="auto" w:fill="F2F2F2" w:themeFill="background1" w:themeFillShade="F2"/>
            <w:noWrap/>
          </w:tcPr>
          <w:p w14:paraId="5B9424E5" w14:textId="77777777" w:rsidR="004874BF" w:rsidRPr="00FB35E4" w:rsidRDefault="004874BF" w:rsidP="00964BA1">
            <w:pPr>
              <w:spacing w:after="0" w:line="240" w:lineRule="auto"/>
              <w:rPr>
                <w:color w:val="002060"/>
                <w:sz w:val="18"/>
              </w:rPr>
            </w:pPr>
            <w:r w:rsidRPr="00FB35E4">
              <w:rPr>
                <w:color w:val="002060"/>
                <w:sz w:val="18"/>
              </w:rPr>
              <w:t>Forestry</w:t>
            </w:r>
          </w:p>
        </w:tc>
        <w:tc>
          <w:tcPr>
            <w:tcW w:w="1134" w:type="dxa"/>
            <w:shd w:val="clear" w:color="auto" w:fill="F2F2F2" w:themeFill="background1" w:themeFillShade="F2"/>
          </w:tcPr>
          <w:p w14:paraId="5D58580E"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F2F2F2" w:themeFill="background1" w:themeFillShade="F2"/>
          </w:tcPr>
          <w:p w14:paraId="2136FC63" w14:textId="77777777" w:rsidR="004874BF" w:rsidRPr="00FB35E4" w:rsidRDefault="004874BF" w:rsidP="00964BA1">
            <w:pPr>
              <w:spacing w:after="0" w:line="240" w:lineRule="auto"/>
              <w:jc w:val="center"/>
              <w:rPr>
                <w:color w:val="002060"/>
                <w:sz w:val="18"/>
              </w:rPr>
            </w:pPr>
            <w:r w:rsidRPr="00FB35E4">
              <w:rPr>
                <w:color w:val="002060"/>
                <w:sz w:val="18"/>
              </w:rPr>
              <w:t>3 293</w:t>
            </w:r>
          </w:p>
        </w:tc>
        <w:tc>
          <w:tcPr>
            <w:tcW w:w="1094" w:type="dxa"/>
            <w:shd w:val="clear" w:color="auto" w:fill="F2F2F2" w:themeFill="background1" w:themeFillShade="F2"/>
          </w:tcPr>
          <w:p w14:paraId="557D19A3" w14:textId="77777777" w:rsidR="004874BF" w:rsidRPr="00FB35E4" w:rsidRDefault="004874BF" w:rsidP="00964BA1">
            <w:pPr>
              <w:spacing w:after="0" w:line="240" w:lineRule="auto"/>
              <w:jc w:val="center"/>
              <w:rPr>
                <w:color w:val="002060"/>
                <w:sz w:val="18"/>
              </w:rPr>
            </w:pPr>
            <w:r w:rsidRPr="00FB35E4">
              <w:rPr>
                <w:color w:val="002060"/>
                <w:sz w:val="18"/>
              </w:rPr>
              <w:t>4 426</w:t>
            </w:r>
          </w:p>
        </w:tc>
        <w:tc>
          <w:tcPr>
            <w:tcW w:w="1026" w:type="dxa"/>
            <w:shd w:val="clear" w:color="auto" w:fill="D9D9D9" w:themeFill="background1" w:themeFillShade="D9"/>
          </w:tcPr>
          <w:p w14:paraId="3B4D5A7B" w14:textId="77777777" w:rsidR="004874BF" w:rsidRPr="00553A3B" w:rsidRDefault="004874BF" w:rsidP="00964BA1">
            <w:pPr>
              <w:spacing w:after="0" w:line="240" w:lineRule="auto"/>
              <w:jc w:val="center"/>
              <w:rPr>
                <w:b/>
                <w:color w:val="002060"/>
                <w:sz w:val="18"/>
              </w:rPr>
            </w:pPr>
            <w:r w:rsidRPr="00553A3B">
              <w:rPr>
                <w:b/>
                <w:color w:val="002060"/>
                <w:sz w:val="18"/>
              </w:rPr>
              <w:t>7 719</w:t>
            </w:r>
          </w:p>
        </w:tc>
        <w:tc>
          <w:tcPr>
            <w:tcW w:w="712" w:type="dxa"/>
            <w:shd w:val="clear" w:color="auto" w:fill="F2F2F2" w:themeFill="background1" w:themeFillShade="F2"/>
            <w:noWrap/>
          </w:tcPr>
          <w:p w14:paraId="2194F97A" w14:textId="77777777" w:rsidR="004874BF" w:rsidRPr="00FB35E4" w:rsidRDefault="004874BF" w:rsidP="00964BA1">
            <w:pPr>
              <w:spacing w:after="0" w:line="240" w:lineRule="auto"/>
              <w:jc w:val="center"/>
              <w:rPr>
                <w:color w:val="002060"/>
                <w:sz w:val="18"/>
              </w:rPr>
            </w:pPr>
            <w:r w:rsidRPr="00FB35E4">
              <w:rPr>
                <w:color w:val="002060"/>
                <w:sz w:val="18"/>
              </w:rPr>
              <w:t>0</w:t>
            </w:r>
          </w:p>
        </w:tc>
        <w:tc>
          <w:tcPr>
            <w:tcW w:w="712" w:type="dxa"/>
            <w:shd w:val="clear" w:color="auto" w:fill="F2F2F2" w:themeFill="background1" w:themeFillShade="F2"/>
            <w:noWrap/>
          </w:tcPr>
          <w:p w14:paraId="6B337A29" w14:textId="77777777" w:rsidR="004874BF" w:rsidRPr="00FB35E4" w:rsidRDefault="004874BF" w:rsidP="00964BA1">
            <w:pPr>
              <w:spacing w:after="0" w:line="240" w:lineRule="auto"/>
              <w:jc w:val="center"/>
              <w:rPr>
                <w:color w:val="002060"/>
                <w:sz w:val="18"/>
              </w:rPr>
            </w:pPr>
            <w:r w:rsidRPr="00FB35E4">
              <w:rPr>
                <w:color w:val="002060"/>
                <w:sz w:val="18"/>
              </w:rPr>
              <w:t>0</w:t>
            </w:r>
          </w:p>
        </w:tc>
        <w:tc>
          <w:tcPr>
            <w:tcW w:w="1151" w:type="dxa"/>
            <w:shd w:val="clear" w:color="auto" w:fill="F2F2F2" w:themeFill="background1" w:themeFillShade="F2"/>
            <w:noWrap/>
          </w:tcPr>
          <w:p w14:paraId="30E2639E" w14:textId="77777777" w:rsidR="004874BF" w:rsidRPr="00FB35E4" w:rsidRDefault="004874BF" w:rsidP="00964BA1">
            <w:pPr>
              <w:spacing w:after="0" w:line="240" w:lineRule="auto"/>
              <w:jc w:val="center"/>
              <w:rPr>
                <w:color w:val="002060"/>
                <w:sz w:val="18"/>
              </w:rPr>
            </w:pPr>
            <w:r w:rsidRPr="00FB35E4">
              <w:rPr>
                <w:color w:val="002060"/>
                <w:sz w:val="18"/>
              </w:rPr>
              <w:t>0</w:t>
            </w:r>
          </w:p>
        </w:tc>
      </w:tr>
      <w:tr w:rsidR="004874BF" w:rsidRPr="00FB35E4" w14:paraId="603F9FD0" w14:textId="77777777" w:rsidTr="00060C3E">
        <w:trPr>
          <w:trHeight w:val="300"/>
        </w:trPr>
        <w:tc>
          <w:tcPr>
            <w:tcW w:w="2127" w:type="dxa"/>
            <w:shd w:val="clear" w:color="auto" w:fill="F2F2F2" w:themeFill="background1" w:themeFillShade="F2"/>
            <w:noWrap/>
          </w:tcPr>
          <w:p w14:paraId="42B7D8CD" w14:textId="77777777" w:rsidR="004874BF" w:rsidRPr="00FB35E4" w:rsidRDefault="004874BF" w:rsidP="00964BA1">
            <w:pPr>
              <w:spacing w:after="0" w:line="240" w:lineRule="auto"/>
              <w:rPr>
                <w:color w:val="002060"/>
                <w:sz w:val="18"/>
              </w:rPr>
            </w:pPr>
            <w:r w:rsidRPr="00FB35E4">
              <w:rPr>
                <w:color w:val="002060"/>
                <w:sz w:val="18"/>
              </w:rPr>
              <w:t>Fishing</w:t>
            </w:r>
          </w:p>
        </w:tc>
        <w:tc>
          <w:tcPr>
            <w:tcW w:w="1134" w:type="dxa"/>
            <w:shd w:val="clear" w:color="auto" w:fill="F2F2F2" w:themeFill="background1" w:themeFillShade="F2"/>
          </w:tcPr>
          <w:p w14:paraId="22050C69"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F2F2F2" w:themeFill="background1" w:themeFillShade="F2"/>
          </w:tcPr>
          <w:p w14:paraId="36B9ED1D" w14:textId="77777777" w:rsidR="004874BF" w:rsidRPr="00FB35E4" w:rsidRDefault="004874BF" w:rsidP="00964BA1">
            <w:pPr>
              <w:spacing w:after="0" w:line="240" w:lineRule="auto"/>
              <w:jc w:val="center"/>
              <w:rPr>
                <w:color w:val="002060"/>
                <w:sz w:val="18"/>
              </w:rPr>
            </w:pPr>
            <w:r w:rsidRPr="00FB35E4">
              <w:rPr>
                <w:color w:val="002060"/>
                <w:sz w:val="18"/>
              </w:rPr>
              <w:t>354</w:t>
            </w:r>
          </w:p>
        </w:tc>
        <w:tc>
          <w:tcPr>
            <w:tcW w:w="1094" w:type="dxa"/>
            <w:shd w:val="clear" w:color="auto" w:fill="F2F2F2" w:themeFill="background1" w:themeFillShade="F2"/>
          </w:tcPr>
          <w:p w14:paraId="15CA4AA1" w14:textId="77777777" w:rsidR="004874BF" w:rsidRPr="00FB35E4" w:rsidRDefault="004874BF" w:rsidP="00964BA1">
            <w:pPr>
              <w:spacing w:after="0" w:line="240" w:lineRule="auto"/>
              <w:jc w:val="center"/>
              <w:rPr>
                <w:color w:val="002060"/>
                <w:sz w:val="18"/>
              </w:rPr>
            </w:pPr>
            <w:r w:rsidRPr="00FB35E4">
              <w:rPr>
                <w:color w:val="002060"/>
                <w:sz w:val="18"/>
              </w:rPr>
              <w:t>499</w:t>
            </w:r>
          </w:p>
        </w:tc>
        <w:tc>
          <w:tcPr>
            <w:tcW w:w="1026" w:type="dxa"/>
            <w:shd w:val="clear" w:color="auto" w:fill="D9D9D9" w:themeFill="background1" w:themeFillShade="D9"/>
          </w:tcPr>
          <w:p w14:paraId="0C9DB4D8" w14:textId="77777777" w:rsidR="004874BF" w:rsidRPr="00553A3B" w:rsidRDefault="004874BF" w:rsidP="00964BA1">
            <w:pPr>
              <w:spacing w:after="0" w:line="240" w:lineRule="auto"/>
              <w:jc w:val="center"/>
              <w:rPr>
                <w:b/>
                <w:color w:val="002060"/>
                <w:sz w:val="18"/>
              </w:rPr>
            </w:pPr>
            <w:r w:rsidRPr="00553A3B">
              <w:rPr>
                <w:b/>
                <w:color w:val="002060"/>
                <w:sz w:val="18"/>
              </w:rPr>
              <w:t>853</w:t>
            </w:r>
          </w:p>
        </w:tc>
        <w:tc>
          <w:tcPr>
            <w:tcW w:w="712" w:type="dxa"/>
            <w:shd w:val="clear" w:color="auto" w:fill="F2F2F2" w:themeFill="background1" w:themeFillShade="F2"/>
            <w:noWrap/>
          </w:tcPr>
          <w:p w14:paraId="192F7858" w14:textId="77777777" w:rsidR="004874BF" w:rsidRPr="00FB35E4" w:rsidRDefault="004874BF" w:rsidP="00964BA1">
            <w:pPr>
              <w:spacing w:after="0" w:line="240" w:lineRule="auto"/>
              <w:jc w:val="center"/>
              <w:rPr>
                <w:color w:val="002060"/>
                <w:sz w:val="18"/>
              </w:rPr>
            </w:pPr>
            <w:r w:rsidRPr="00FB35E4">
              <w:rPr>
                <w:color w:val="002060"/>
                <w:sz w:val="18"/>
              </w:rPr>
              <w:t>0</w:t>
            </w:r>
          </w:p>
        </w:tc>
        <w:tc>
          <w:tcPr>
            <w:tcW w:w="712" w:type="dxa"/>
            <w:shd w:val="clear" w:color="auto" w:fill="F2F2F2" w:themeFill="background1" w:themeFillShade="F2"/>
            <w:noWrap/>
          </w:tcPr>
          <w:p w14:paraId="4D289272" w14:textId="77777777" w:rsidR="004874BF" w:rsidRPr="00FB35E4" w:rsidRDefault="004874BF" w:rsidP="00964BA1">
            <w:pPr>
              <w:spacing w:after="0" w:line="240" w:lineRule="auto"/>
              <w:jc w:val="center"/>
              <w:rPr>
                <w:color w:val="002060"/>
                <w:sz w:val="18"/>
              </w:rPr>
            </w:pPr>
            <w:r w:rsidRPr="00FB35E4">
              <w:rPr>
                <w:color w:val="002060"/>
                <w:sz w:val="18"/>
              </w:rPr>
              <w:t>0</w:t>
            </w:r>
          </w:p>
        </w:tc>
        <w:tc>
          <w:tcPr>
            <w:tcW w:w="1151" w:type="dxa"/>
            <w:shd w:val="clear" w:color="auto" w:fill="F2F2F2" w:themeFill="background1" w:themeFillShade="F2"/>
            <w:noWrap/>
          </w:tcPr>
          <w:p w14:paraId="28870E62" w14:textId="77777777" w:rsidR="004874BF" w:rsidRPr="00FB35E4" w:rsidRDefault="004874BF" w:rsidP="00964BA1">
            <w:pPr>
              <w:spacing w:after="0" w:line="240" w:lineRule="auto"/>
              <w:jc w:val="center"/>
              <w:rPr>
                <w:color w:val="002060"/>
                <w:sz w:val="18"/>
              </w:rPr>
            </w:pPr>
            <w:r w:rsidRPr="00FB35E4">
              <w:rPr>
                <w:color w:val="002060"/>
                <w:sz w:val="18"/>
              </w:rPr>
              <w:t>0</w:t>
            </w:r>
          </w:p>
        </w:tc>
      </w:tr>
      <w:tr w:rsidR="004874BF" w:rsidRPr="00FB35E4" w14:paraId="322E3B0D" w14:textId="77777777" w:rsidTr="00060C3E">
        <w:trPr>
          <w:trHeight w:val="300"/>
        </w:trPr>
        <w:tc>
          <w:tcPr>
            <w:tcW w:w="8982" w:type="dxa"/>
            <w:gridSpan w:val="8"/>
            <w:shd w:val="clear" w:color="auto" w:fill="D9D9D9" w:themeFill="background1" w:themeFillShade="D9"/>
            <w:noWrap/>
          </w:tcPr>
          <w:p w14:paraId="03E2E314" w14:textId="77777777" w:rsidR="004874BF" w:rsidRPr="00FB35E4" w:rsidRDefault="004874BF" w:rsidP="00964BA1">
            <w:pPr>
              <w:spacing w:after="0" w:line="240" w:lineRule="auto"/>
              <w:rPr>
                <w:b/>
                <w:color w:val="002060"/>
                <w:sz w:val="18"/>
              </w:rPr>
            </w:pPr>
            <w:r w:rsidRPr="00FB35E4">
              <w:rPr>
                <w:b/>
                <w:color w:val="002060"/>
                <w:sz w:val="18"/>
              </w:rPr>
              <w:t>SIC2 – MINING</w:t>
            </w:r>
          </w:p>
        </w:tc>
      </w:tr>
      <w:tr w:rsidR="004874BF" w:rsidRPr="00FB35E4" w14:paraId="5A710845" w14:textId="77777777" w:rsidTr="00060C3E">
        <w:trPr>
          <w:trHeight w:val="300"/>
        </w:trPr>
        <w:tc>
          <w:tcPr>
            <w:tcW w:w="2127" w:type="dxa"/>
            <w:shd w:val="clear" w:color="auto" w:fill="F2F2F2" w:themeFill="background1" w:themeFillShade="F2"/>
            <w:noWrap/>
            <w:hideMark/>
          </w:tcPr>
          <w:p w14:paraId="329C31D2" w14:textId="77777777" w:rsidR="004874BF" w:rsidRPr="00FB35E4" w:rsidRDefault="004874BF" w:rsidP="00964BA1">
            <w:pPr>
              <w:spacing w:after="0" w:line="240" w:lineRule="auto"/>
              <w:rPr>
                <w:color w:val="002060"/>
                <w:sz w:val="18"/>
              </w:rPr>
            </w:pPr>
            <w:r w:rsidRPr="00FB35E4">
              <w:rPr>
                <w:color w:val="002060"/>
                <w:sz w:val="18"/>
              </w:rPr>
              <w:t>Coal mining</w:t>
            </w:r>
          </w:p>
        </w:tc>
        <w:tc>
          <w:tcPr>
            <w:tcW w:w="1134" w:type="dxa"/>
            <w:shd w:val="clear" w:color="auto" w:fill="F2F2F2" w:themeFill="background1" w:themeFillShade="F2"/>
          </w:tcPr>
          <w:p w14:paraId="2D3025CC" w14:textId="77777777" w:rsidR="004874BF" w:rsidRPr="00FB35E4" w:rsidRDefault="004874BF" w:rsidP="00964BA1">
            <w:pPr>
              <w:spacing w:after="0" w:line="240" w:lineRule="auto"/>
              <w:jc w:val="center"/>
              <w:rPr>
                <w:color w:val="002060"/>
                <w:sz w:val="18"/>
              </w:rPr>
            </w:pPr>
            <w:r w:rsidRPr="00FB35E4">
              <w:rPr>
                <w:color w:val="002060"/>
                <w:sz w:val="18"/>
              </w:rPr>
              <w:t>589</w:t>
            </w:r>
          </w:p>
        </w:tc>
        <w:tc>
          <w:tcPr>
            <w:tcW w:w="1026" w:type="dxa"/>
            <w:shd w:val="clear" w:color="auto" w:fill="F2F2F2" w:themeFill="background1" w:themeFillShade="F2"/>
          </w:tcPr>
          <w:p w14:paraId="2B26DB27" w14:textId="77777777" w:rsidR="004874BF" w:rsidRPr="00FB35E4" w:rsidRDefault="004874BF" w:rsidP="00964BA1">
            <w:pPr>
              <w:spacing w:after="0" w:line="240" w:lineRule="auto"/>
              <w:jc w:val="center"/>
              <w:rPr>
                <w:color w:val="002060"/>
                <w:sz w:val="18"/>
              </w:rPr>
            </w:pPr>
            <w:r w:rsidRPr="00FB35E4">
              <w:rPr>
                <w:color w:val="002060"/>
                <w:sz w:val="18"/>
              </w:rPr>
              <w:t>31 070</w:t>
            </w:r>
          </w:p>
        </w:tc>
        <w:tc>
          <w:tcPr>
            <w:tcW w:w="1094" w:type="dxa"/>
            <w:shd w:val="clear" w:color="auto" w:fill="F2F2F2" w:themeFill="background1" w:themeFillShade="F2"/>
          </w:tcPr>
          <w:p w14:paraId="0CB22B0E" w14:textId="77777777" w:rsidR="004874BF" w:rsidRPr="00FB35E4" w:rsidRDefault="004874BF" w:rsidP="00964BA1">
            <w:pPr>
              <w:spacing w:after="0" w:line="240" w:lineRule="auto"/>
              <w:jc w:val="center"/>
              <w:rPr>
                <w:color w:val="002060"/>
                <w:sz w:val="18"/>
              </w:rPr>
            </w:pPr>
            <w:r w:rsidRPr="00FB35E4">
              <w:rPr>
                <w:color w:val="002060"/>
                <w:sz w:val="18"/>
              </w:rPr>
              <w:t>18 013</w:t>
            </w:r>
          </w:p>
        </w:tc>
        <w:tc>
          <w:tcPr>
            <w:tcW w:w="1026" w:type="dxa"/>
            <w:shd w:val="clear" w:color="auto" w:fill="D9D9D9" w:themeFill="background1" w:themeFillShade="D9"/>
          </w:tcPr>
          <w:p w14:paraId="2A2A814B" w14:textId="77777777" w:rsidR="004874BF" w:rsidRPr="00553A3B" w:rsidRDefault="004874BF" w:rsidP="00964BA1">
            <w:pPr>
              <w:spacing w:after="0" w:line="240" w:lineRule="auto"/>
              <w:jc w:val="center"/>
              <w:rPr>
                <w:b/>
                <w:color w:val="002060"/>
                <w:sz w:val="18"/>
              </w:rPr>
            </w:pPr>
            <w:r w:rsidRPr="00553A3B">
              <w:rPr>
                <w:b/>
                <w:color w:val="002060"/>
                <w:sz w:val="18"/>
              </w:rPr>
              <w:t>49 671</w:t>
            </w:r>
          </w:p>
        </w:tc>
        <w:tc>
          <w:tcPr>
            <w:tcW w:w="712" w:type="dxa"/>
            <w:shd w:val="clear" w:color="auto" w:fill="F2F2F2" w:themeFill="background1" w:themeFillShade="F2"/>
            <w:noWrap/>
            <w:hideMark/>
          </w:tcPr>
          <w:p w14:paraId="3BAEDF7B"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712" w:type="dxa"/>
            <w:shd w:val="clear" w:color="auto" w:fill="F2F2F2" w:themeFill="background1" w:themeFillShade="F2"/>
            <w:noWrap/>
            <w:hideMark/>
          </w:tcPr>
          <w:p w14:paraId="3EC0453B" w14:textId="77777777" w:rsidR="004874BF" w:rsidRPr="00FB35E4" w:rsidRDefault="004874BF" w:rsidP="00964BA1">
            <w:pPr>
              <w:spacing w:after="0" w:line="240" w:lineRule="auto"/>
              <w:jc w:val="center"/>
              <w:rPr>
                <w:color w:val="002060"/>
                <w:sz w:val="18"/>
              </w:rPr>
            </w:pPr>
            <w:r w:rsidRPr="00FB35E4">
              <w:rPr>
                <w:color w:val="002060"/>
                <w:sz w:val="18"/>
              </w:rPr>
              <w:t>1 529</w:t>
            </w:r>
          </w:p>
        </w:tc>
        <w:tc>
          <w:tcPr>
            <w:tcW w:w="1151" w:type="dxa"/>
            <w:shd w:val="clear" w:color="auto" w:fill="F2F2F2" w:themeFill="background1" w:themeFillShade="F2"/>
            <w:noWrap/>
            <w:hideMark/>
          </w:tcPr>
          <w:p w14:paraId="712CB036" w14:textId="77777777" w:rsidR="004874BF" w:rsidRPr="00FB35E4" w:rsidRDefault="004874BF" w:rsidP="00964BA1">
            <w:pPr>
              <w:spacing w:after="0" w:line="240" w:lineRule="auto"/>
              <w:jc w:val="center"/>
              <w:rPr>
                <w:color w:val="002060"/>
                <w:sz w:val="18"/>
              </w:rPr>
            </w:pPr>
            <w:r w:rsidRPr="00FB35E4">
              <w:rPr>
                <w:color w:val="002060"/>
                <w:sz w:val="18"/>
              </w:rPr>
              <w:t>1 741</w:t>
            </w:r>
          </w:p>
        </w:tc>
      </w:tr>
      <w:tr w:rsidR="004874BF" w:rsidRPr="00FB35E4" w14:paraId="58FD8704" w14:textId="77777777" w:rsidTr="00060C3E">
        <w:trPr>
          <w:trHeight w:val="300"/>
        </w:trPr>
        <w:tc>
          <w:tcPr>
            <w:tcW w:w="2127" w:type="dxa"/>
            <w:shd w:val="clear" w:color="auto" w:fill="F2F2F2" w:themeFill="background1" w:themeFillShade="F2"/>
            <w:noWrap/>
            <w:hideMark/>
          </w:tcPr>
          <w:p w14:paraId="3D571443" w14:textId="77777777" w:rsidR="004874BF" w:rsidRPr="00FB35E4" w:rsidRDefault="004874BF" w:rsidP="00964BA1">
            <w:pPr>
              <w:spacing w:after="0" w:line="240" w:lineRule="auto"/>
              <w:rPr>
                <w:color w:val="002060"/>
                <w:sz w:val="18"/>
              </w:rPr>
            </w:pPr>
            <w:r w:rsidRPr="00FB35E4">
              <w:rPr>
                <w:color w:val="002060"/>
                <w:sz w:val="18"/>
              </w:rPr>
              <w:t>Metal ores extraction</w:t>
            </w:r>
          </w:p>
        </w:tc>
        <w:tc>
          <w:tcPr>
            <w:tcW w:w="1134" w:type="dxa"/>
            <w:shd w:val="clear" w:color="auto" w:fill="F2F2F2" w:themeFill="background1" w:themeFillShade="F2"/>
          </w:tcPr>
          <w:p w14:paraId="50B115F8" w14:textId="77777777" w:rsidR="004874BF" w:rsidRPr="00FB35E4" w:rsidRDefault="004874BF" w:rsidP="00964BA1">
            <w:pPr>
              <w:spacing w:after="0" w:line="240" w:lineRule="auto"/>
              <w:jc w:val="center"/>
              <w:rPr>
                <w:color w:val="002060"/>
                <w:sz w:val="18"/>
              </w:rPr>
            </w:pPr>
            <w:r w:rsidRPr="00FB35E4">
              <w:rPr>
                <w:color w:val="002060"/>
                <w:sz w:val="18"/>
              </w:rPr>
              <w:t>16 606</w:t>
            </w:r>
          </w:p>
        </w:tc>
        <w:tc>
          <w:tcPr>
            <w:tcW w:w="1026" w:type="dxa"/>
            <w:shd w:val="clear" w:color="auto" w:fill="F2F2F2" w:themeFill="background1" w:themeFillShade="F2"/>
          </w:tcPr>
          <w:p w14:paraId="34A4BDCF" w14:textId="77777777" w:rsidR="004874BF" w:rsidRPr="00FB35E4" w:rsidRDefault="004874BF" w:rsidP="00964BA1">
            <w:pPr>
              <w:spacing w:after="0" w:line="240" w:lineRule="auto"/>
              <w:jc w:val="center"/>
              <w:rPr>
                <w:color w:val="002060"/>
                <w:sz w:val="18"/>
              </w:rPr>
            </w:pPr>
            <w:r w:rsidRPr="00FB35E4">
              <w:rPr>
                <w:color w:val="002060"/>
                <w:sz w:val="18"/>
              </w:rPr>
              <w:t>8 410</w:t>
            </w:r>
          </w:p>
        </w:tc>
        <w:tc>
          <w:tcPr>
            <w:tcW w:w="1094" w:type="dxa"/>
            <w:shd w:val="clear" w:color="auto" w:fill="F2F2F2" w:themeFill="background1" w:themeFillShade="F2"/>
          </w:tcPr>
          <w:p w14:paraId="2F128B90" w14:textId="77777777" w:rsidR="004874BF" w:rsidRPr="00FB35E4" w:rsidRDefault="004874BF" w:rsidP="00964BA1">
            <w:pPr>
              <w:spacing w:after="0" w:line="240" w:lineRule="auto"/>
              <w:jc w:val="center"/>
              <w:rPr>
                <w:color w:val="002060"/>
                <w:sz w:val="18"/>
              </w:rPr>
            </w:pPr>
            <w:r w:rsidRPr="00FB35E4">
              <w:rPr>
                <w:color w:val="002060"/>
                <w:sz w:val="18"/>
              </w:rPr>
              <w:t>7 295</w:t>
            </w:r>
          </w:p>
        </w:tc>
        <w:tc>
          <w:tcPr>
            <w:tcW w:w="1026" w:type="dxa"/>
            <w:shd w:val="clear" w:color="auto" w:fill="D9D9D9" w:themeFill="background1" w:themeFillShade="D9"/>
          </w:tcPr>
          <w:p w14:paraId="7580D339" w14:textId="77777777" w:rsidR="004874BF" w:rsidRPr="00553A3B" w:rsidRDefault="004874BF" w:rsidP="00964BA1">
            <w:pPr>
              <w:spacing w:after="0" w:line="240" w:lineRule="auto"/>
              <w:jc w:val="center"/>
              <w:rPr>
                <w:b/>
                <w:color w:val="002060"/>
                <w:sz w:val="18"/>
              </w:rPr>
            </w:pPr>
            <w:r w:rsidRPr="00553A3B">
              <w:rPr>
                <w:b/>
                <w:color w:val="002060"/>
                <w:sz w:val="18"/>
              </w:rPr>
              <w:t>32 311</w:t>
            </w:r>
          </w:p>
        </w:tc>
        <w:tc>
          <w:tcPr>
            <w:tcW w:w="712" w:type="dxa"/>
            <w:shd w:val="clear" w:color="auto" w:fill="F2F2F2" w:themeFill="background1" w:themeFillShade="F2"/>
            <w:noWrap/>
            <w:hideMark/>
          </w:tcPr>
          <w:p w14:paraId="6A342F96"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6F126D53"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30F8EF35"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36AF2DDC" w14:textId="77777777" w:rsidTr="00060C3E">
        <w:trPr>
          <w:trHeight w:val="300"/>
        </w:trPr>
        <w:tc>
          <w:tcPr>
            <w:tcW w:w="2127" w:type="dxa"/>
            <w:shd w:val="clear" w:color="auto" w:fill="F2F2F2" w:themeFill="background1" w:themeFillShade="F2"/>
            <w:noWrap/>
            <w:hideMark/>
          </w:tcPr>
          <w:p w14:paraId="1131783A" w14:textId="77777777" w:rsidR="004874BF" w:rsidRPr="00FB35E4" w:rsidRDefault="004874BF" w:rsidP="00964BA1">
            <w:pPr>
              <w:spacing w:after="0" w:line="240" w:lineRule="auto"/>
              <w:rPr>
                <w:color w:val="002060"/>
                <w:sz w:val="18"/>
              </w:rPr>
            </w:pPr>
            <w:r w:rsidRPr="00FB35E4">
              <w:rPr>
                <w:color w:val="002060"/>
                <w:sz w:val="18"/>
              </w:rPr>
              <w:t>Crude gas extraction</w:t>
            </w:r>
          </w:p>
        </w:tc>
        <w:tc>
          <w:tcPr>
            <w:tcW w:w="1134" w:type="dxa"/>
            <w:shd w:val="clear" w:color="auto" w:fill="F2F2F2" w:themeFill="background1" w:themeFillShade="F2"/>
          </w:tcPr>
          <w:p w14:paraId="31DDFF65" w14:textId="77777777" w:rsidR="004874BF" w:rsidRPr="00FB35E4" w:rsidRDefault="004874BF" w:rsidP="00964BA1">
            <w:pPr>
              <w:spacing w:after="0" w:line="240" w:lineRule="auto"/>
              <w:jc w:val="center"/>
              <w:rPr>
                <w:color w:val="002060"/>
                <w:sz w:val="18"/>
              </w:rPr>
            </w:pPr>
            <w:r w:rsidRPr="00FB35E4">
              <w:rPr>
                <w:color w:val="002060"/>
                <w:sz w:val="18"/>
              </w:rPr>
              <w:t>1 186</w:t>
            </w:r>
          </w:p>
        </w:tc>
        <w:tc>
          <w:tcPr>
            <w:tcW w:w="1026" w:type="dxa"/>
            <w:shd w:val="clear" w:color="auto" w:fill="F2F2F2" w:themeFill="background1" w:themeFillShade="F2"/>
          </w:tcPr>
          <w:p w14:paraId="2C9B939E" w14:textId="77777777" w:rsidR="004874BF" w:rsidRPr="00FB35E4" w:rsidRDefault="004874BF" w:rsidP="00964BA1">
            <w:pPr>
              <w:spacing w:after="0" w:line="240" w:lineRule="auto"/>
              <w:jc w:val="center"/>
              <w:rPr>
                <w:color w:val="002060"/>
                <w:sz w:val="18"/>
              </w:rPr>
            </w:pPr>
            <w:r w:rsidRPr="00FB35E4">
              <w:rPr>
                <w:color w:val="002060"/>
                <w:sz w:val="18"/>
              </w:rPr>
              <w:t>1 773</w:t>
            </w:r>
          </w:p>
        </w:tc>
        <w:tc>
          <w:tcPr>
            <w:tcW w:w="1094" w:type="dxa"/>
            <w:shd w:val="clear" w:color="auto" w:fill="F2F2F2" w:themeFill="background1" w:themeFillShade="F2"/>
          </w:tcPr>
          <w:p w14:paraId="677AEAA4" w14:textId="77777777" w:rsidR="004874BF" w:rsidRPr="00FB35E4" w:rsidRDefault="004874BF" w:rsidP="00964BA1">
            <w:pPr>
              <w:spacing w:after="0" w:line="240" w:lineRule="auto"/>
              <w:jc w:val="center"/>
              <w:rPr>
                <w:color w:val="002060"/>
                <w:sz w:val="18"/>
              </w:rPr>
            </w:pPr>
            <w:r w:rsidRPr="00FB35E4">
              <w:rPr>
                <w:color w:val="002060"/>
                <w:sz w:val="18"/>
              </w:rPr>
              <w:t>478</w:t>
            </w:r>
          </w:p>
        </w:tc>
        <w:tc>
          <w:tcPr>
            <w:tcW w:w="1026" w:type="dxa"/>
            <w:shd w:val="clear" w:color="auto" w:fill="D9D9D9" w:themeFill="background1" w:themeFillShade="D9"/>
          </w:tcPr>
          <w:p w14:paraId="71887209" w14:textId="77777777" w:rsidR="004874BF" w:rsidRPr="00553A3B" w:rsidRDefault="004874BF" w:rsidP="00964BA1">
            <w:pPr>
              <w:spacing w:after="0" w:line="240" w:lineRule="auto"/>
              <w:jc w:val="center"/>
              <w:rPr>
                <w:b/>
                <w:color w:val="002060"/>
                <w:sz w:val="18"/>
              </w:rPr>
            </w:pPr>
            <w:r w:rsidRPr="00553A3B">
              <w:rPr>
                <w:b/>
                <w:color w:val="002060"/>
                <w:sz w:val="18"/>
              </w:rPr>
              <w:t>3 436</w:t>
            </w:r>
          </w:p>
        </w:tc>
        <w:tc>
          <w:tcPr>
            <w:tcW w:w="712" w:type="dxa"/>
            <w:shd w:val="clear" w:color="auto" w:fill="F2F2F2" w:themeFill="background1" w:themeFillShade="F2"/>
            <w:noWrap/>
            <w:hideMark/>
          </w:tcPr>
          <w:p w14:paraId="1A8BC905"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7FAB8121"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7185D7A8"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5BC5C903" w14:textId="77777777" w:rsidTr="00060C3E">
        <w:trPr>
          <w:trHeight w:val="300"/>
        </w:trPr>
        <w:tc>
          <w:tcPr>
            <w:tcW w:w="2127" w:type="dxa"/>
            <w:shd w:val="clear" w:color="auto" w:fill="F2F2F2" w:themeFill="background1" w:themeFillShade="F2"/>
            <w:noWrap/>
            <w:hideMark/>
          </w:tcPr>
          <w:p w14:paraId="797F2510" w14:textId="77777777" w:rsidR="004874BF" w:rsidRPr="00FB35E4" w:rsidRDefault="004874BF" w:rsidP="00964BA1">
            <w:pPr>
              <w:spacing w:after="0" w:line="240" w:lineRule="auto"/>
              <w:rPr>
                <w:color w:val="002060"/>
                <w:sz w:val="18"/>
              </w:rPr>
            </w:pPr>
            <w:r w:rsidRPr="00FB35E4">
              <w:rPr>
                <w:color w:val="002060"/>
                <w:sz w:val="18"/>
              </w:rPr>
              <w:t>Other mining</w:t>
            </w:r>
          </w:p>
        </w:tc>
        <w:tc>
          <w:tcPr>
            <w:tcW w:w="1134" w:type="dxa"/>
            <w:shd w:val="clear" w:color="auto" w:fill="F2F2F2" w:themeFill="background1" w:themeFillShade="F2"/>
          </w:tcPr>
          <w:p w14:paraId="1DBDD658" w14:textId="77777777" w:rsidR="004874BF" w:rsidRPr="00FB35E4" w:rsidRDefault="004874BF" w:rsidP="00964BA1">
            <w:pPr>
              <w:spacing w:after="0" w:line="240" w:lineRule="auto"/>
              <w:jc w:val="center"/>
              <w:rPr>
                <w:color w:val="002060"/>
                <w:sz w:val="18"/>
              </w:rPr>
            </w:pPr>
            <w:r w:rsidRPr="00FB35E4">
              <w:rPr>
                <w:color w:val="002060"/>
                <w:sz w:val="18"/>
              </w:rPr>
              <w:t>36 195</w:t>
            </w:r>
          </w:p>
        </w:tc>
        <w:tc>
          <w:tcPr>
            <w:tcW w:w="1026" w:type="dxa"/>
            <w:shd w:val="clear" w:color="auto" w:fill="F2F2F2" w:themeFill="background1" w:themeFillShade="F2"/>
          </w:tcPr>
          <w:p w14:paraId="16D4A771" w14:textId="77777777" w:rsidR="004874BF" w:rsidRPr="00FB35E4" w:rsidRDefault="004874BF" w:rsidP="00964BA1">
            <w:pPr>
              <w:spacing w:after="0" w:line="240" w:lineRule="auto"/>
              <w:jc w:val="center"/>
              <w:rPr>
                <w:color w:val="002060"/>
                <w:sz w:val="18"/>
              </w:rPr>
            </w:pPr>
            <w:r w:rsidRPr="00FB35E4">
              <w:rPr>
                <w:color w:val="002060"/>
                <w:sz w:val="18"/>
              </w:rPr>
              <w:t>54 108</w:t>
            </w:r>
          </w:p>
        </w:tc>
        <w:tc>
          <w:tcPr>
            <w:tcW w:w="1094" w:type="dxa"/>
            <w:shd w:val="clear" w:color="auto" w:fill="F2F2F2" w:themeFill="background1" w:themeFillShade="F2"/>
          </w:tcPr>
          <w:p w14:paraId="772859BD" w14:textId="77777777" w:rsidR="004874BF" w:rsidRPr="00FB35E4" w:rsidRDefault="004874BF" w:rsidP="00964BA1">
            <w:pPr>
              <w:spacing w:after="0" w:line="240" w:lineRule="auto"/>
              <w:jc w:val="center"/>
              <w:rPr>
                <w:color w:val="002060"/>
                <w:sz w:val="18"/>
              </w:rPr>
            </w:pPr>
            <w:r w:rsidRPr="00FB35E4">
              <w:rPr>
                <w:color w:val="002060"/>
                <w:sz w:val="18"/>
              </w:rPr>
              <w:t>14 577</w:t>
            </w:r>
          </w:p>
        </w:tc>
        <w:tc>
          <w:tcPr>
            <w:tcW w:w="1026" w:type="dxa"/>
            <w:shd w:val="clear" w:color="auto" w:fill="D9D9D9" w:themeFill="background1" w:themeFillShade="D9"/>
          </w:tcPr>
          <w:p w14:paraId="620790A2" w14:textId="77777777" w:rsidR="004874BF" w:rsidRPr="00553A3B" w:rsidRDefault="004874BF" w:rsidP="00964BA1">
            <w:pPr>
              <w:spacing w:after="0" w:line="240" w:lineRule="auto"/>
              <w:jc w:val="center"/>
              <w:rPr>
                <w:b/>
                <w:color w:val="002060"/>
                <w:sz w:val="18"/>
              </w:rPr>
            </w:pPr>
            <w:r w:rsidRPr="00553A3B">
              <w:rPr>
                <w:b/>
                <w:color w:val="002060"/>
                <w:sz w:val="18"/>
              </w:rPr>
              <w:t>104 880</w:t>
            </w:r>
          </w:p>
        </w:tc>
        <w:tc>
          <w:tcPr>
            <w:tcW w:w="712" w:type="dxa"/>
            <w:shd w:val="clear" w:color="auto" w:fill="F2F2F2" w:themeFill="background1" w:themeFillShade="F2"/>
            <w:noWrap/>
            <w:hideMark/>
          </w:tcPr>
          <w:p w14:paraId="5744831F"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7A672828"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627C75F3"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36C18D74" w14:textId="77777777" w:rsidTr="00060C3E">
        <w:trPr>
          <w:trHeight w:val="300"/>
        </w:trPr>
        <w:tc>
          <w:tcPr>
            <w:tcW w:w="2127" w:type="dxa"/>
            <w:shd w:val="clear" w:color="auto" w:fill="F2F2F2" w:themeFill="background1" w:themeFillShade="F2"/>
            <w:noWrap/>
            <w:hideMark/>
          </w:tcPr>
          <w:p w14:paraId="4DBD5AD8" w14:textId="77777777" w:rsidR="004874BF" w:rsidRPr="00FB35E4" w:rsidRDefault="004874BF" w:rsidP="00964BA1">
            <w:pPr>
              <w:spacing w:after="0" w:line="240" w:lineRule="auto"/>
              <w:rPr>
                <w:color w:val="002060"/>
                <w:sz w:val="18"/>
              </w:rPr>
            </w:pPr>
            <w:r w:rsidRPr="00FB35E4">
              <w:rPr>
                <w:color w:val="002060"/>
                <w:sz w:val="18"/>
              </w:rPr>
              <w:t>Electric energy and gas</w:t>
            </w:r>
          </w:p>
        </w:tc>
        <w:tc>
          <w:tcPr>
            <w:tcW w:w="1134" w:type="dxa"/>
            <w:shd w:val="clear" w:color="auto" w:fill="F2F2F2" w:themeFill="background1" w:themeFillShade="F2"/>
          </w:tcPr>
          <w:p w14:paraId="7452F9BD" w14:textId="77777777" w:rsidR="004874BF" w:rsidRPr="00FB35E4" w:rsidRDefault="004874BF" w:rsidP="00964BA1">
            <w:pPr>
              <w:spacing w:after="0" w:line="240" w:lineRule="auto"/>
              <w:jc w:val="center"/>
              <w:rPr>
                <w:color w:val="002060"/>
                <w:sz w:val="18"/>
              </w:rPr>
            </w:pPr>
            <w:r w:rsidRPr="00FB35E4">
              <w:rPr>
                <w:color w:val="002060"/>
                <w:sz w:val="18"/>
              </w:rPr>
              <w:t>14 737</w:t>
            </w:r>
          </w:p>
        </w:tc>
        <w:tc>
          <w:tcPr>
            <w:tcW w:w="1026" w:type="dxa"/>
            <w:shd w:val="clear" w:color="auto" w:fill="F2F2F2" w:themeFill="background1" w:themeFillShade="F2"/>
          </w:tcPr>
          <w:p w14:paraId="2E43CFBB" w14:textId="77777777" w:rsidR="004874BF" w:rsidRPr="00FB35E4" w:rsidRDefault="004874BF" w:rsidP="00964BA1">
            <w:pPr>
              <w:spacing w:after="0" w:line="240" w:lineRule="auto"/>
              <w:jc w:val="center"/>
              <w:rPr>
                <w:color w:val="002060"/>
                <w:sz w:val="18"/>
              </w:rPr>
            </w:pPr>
            <w:r w:rsidRPr="00FB35E4">
              <w:rPr>
                <w:color w:val="002060"/>
                <w:sz w:val="18"/>
              </w:rPr>
              <w:t>6</w:t>
            </w:r>
          </w:p>
        </w:tc>
        <w:tc>
          <w:tcPr>
            <w:tcW w:w="1094" w:type="dxa"/>
            <w:shd w:val="clear" w:color="auto" w:fill="F2F2F2" w:themeFill="background1" w:themeFillShade="F2"/>
          </w:tcPr>
          <w:p w14:paraId="7A850D60" w14:textId="77777777" w:rsidR="004874BF" w:rsidRPr="00FB35E4" w:rsidRDefault="004874BF" w:rsidP="00964BA1">
            <w:pPr>
              <w:spacing w:after="0" w:line="240" w:lineRule="auto"/>
              <w:jc w:val="center"/>
              <w:rPr>
                <w:color w:val="002060"/>
                <w:sz w:val="18"/>
              </w:rPr>
            </w:pPr>
            <w:r w:rsidRPr="00FB35E4">
              <w:rPr>
                <w:color w:val="002060"/>
                <w:sz w:val="18"/>
              </w:rPr>
              <w:t>327</w:t>
            </w:r>
          </w:p>
        </w:tc>
        <w:tc>
          <w:tcPr>
            <w:tcW w:w="1026" w:type="dxa"/>
            <w:shd w:val="clear" w:color="auto" w:fill="D9D9D9" w:themeFill="background1" w:themeFillShade="D9"/>
          </w:tcPr>
          <w:p w14:paraId="5D5F10E9" w14:textId="77777777" w:rsidR="004874BF" w:rsidRPr="00553A3B" w:rsidRDefault="004874BF" w:rsidP="00964BA1">
            <w:pPr>
              <w:spacing w:after="0" w:line="240" w:lineRule="auto"/>
              <w:jc w:val="center"/>
              <w:rPr>
                <w:b/>
                <w:color w:val="002060"/>
                <w:sz w:val="18"/>
              </w:rPr>
            </w:pPr>
            <w:r w:rsidRPr="00553A3B">
              <w:rPr>
                <w:b/>
                <w:color w:val="002060"/>
                <w:sz w:val="18"/>
              </w:rPr>
              <w:t>15 070</w:t>
            </w:r>
          </w:p>
        </w:tc>
        <w:tc>
          <w:tcPr>
            <w:tcW w:w="712" w:type="dxa"/>
            <w:shd w:val="clear" w:color="auto" w:fill="F2F2F2" w:themeFill="background1" w:themeFillShade="F2"/>
            <w:noWrap/>
            <w:hideMark/>
          </w:tcPr>
          <w:p w14:paraId="2318B05C"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05327A9D"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7C968D8E"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0509B500" w14:textId="77777777" w:rsidTr="00060C3E">
        <w:trPr>
          <w:trHeight w:val="300"/>
        </w:trPr>
        <w:tc>
          <w:tcPr>
            <w:tcW w:w="8982" w:type="dxa"/>
            <w:gridSpan w:val="8"/>
            <w:shd w:val="clear" w:color="auto" w:fill="D9D9D9" w:themeFill="background1" w:themeFillShade="D9"/>
            <w:noWrap/>
          </w:tcPr>
          <w:p w14:paraId="3A5C6133" w14:textId="77777777" w:rsidR="004874BF" w:rsidRPr="00FB35E4" w:rsidRDefault="004874BF" w:rsidP="00964BA1">
            <w:pPr>
              <w:spacing w:after="0" w:line="240" w:lineRule="auto"/>
              <w:rPr>
                <w:b/>
                <w:color w:val="002060"/>
                <w:sz w:val="18"/>
              </w:rPr>
            </w:pPr>
            <w:r w:rsidRPr="00FB35E4">
              <w:rPr>
                <w:b/>
                <w:color w:val="002060"/>
                <w:sz w:val="18"/>
              </w:rPr>
              <w:t>SIC 3 – MANUFACTURING</w:t>
            </w:r>
          </w:p>
        </w:tc>
      </w:tr>
      <w:tr w:rsidR="004874BF" w:rsidRPr="00FB35E4" w14:paraId="4D140012" w14:textId="77777777" w:rsidTr="00060C3E">
        <w:trPr>
          <w:trHeight w:val="300"/>
        </w:trPr>
        <w:tc>
          <w:tcPr>
            <w:tcW w:w="2127" w:type="dxa"/>
            <w:shd w:val="clear" w:color="auto" w:fill="F2F2F2" w:themeFill="background1" w:themeFillShade="F2"/>
            <w:noWrap/>
            <w:hideMark/>
          </w:tcPr>
          <w:p w14:paraId="607181D0" w14:textId="77777777" w:rsidR="004874BF" w:rsidRPr="00FB35E4" w:rsidRDefault="004874BF" w:rsidP="00964BA1">
            <w:pPr>
              <w:spacing w:after="0" w:line="240" w:lineRule="auto"/>
              <w:rPr>
                <w:color w:val="002060"/>
                <w:sz w:val="18"/>
              </w:rPr>
            </w:pPr>
            <w:r w:rsidRPr="00FB35E4">
              <w:rPr>
                <w:color w:val="002060"/>
                <w:sz w:val="18"/>
              </w:rPr>
              <w:t>Food</w:t>
            </w:r>
          </w:p>
        </w:tc>
        <w:tc>
          <w:tcPr>
            <w:tcW w:w="1134" w:type="dxa"/>
            <w:shd w:val="clear" w:color="auto" w:fill="F2F2F2" w:themeFill="background1" w:themeFillShade="F2"/>
          </w:tcPr>
          <w:p w14:paraId="7D8DE6F8" w14:textId="77777777" w:rsidR="004874BF" w:rsidRPr="00FB35E4" w:rsidRDefault="004874BF" w:rsidP="00964BA1">
            <w:pPr>
              <w:spacing w:after="0" w:line="240" w:lineRule="auto"/>
              <w:jc w:val="center"/>
              <w:rPr>
                <w:color w:val="002060"/>
                <w:sz w:val="18"/>
              </w:rPr>
            </w:pPr>
            <w:r w:rsidRPr="00FB35E4">
              <w:rPr>
                <w:color w:val="002060"/>
                <w:sz w:val="18"/>
              </w:rPr>
              <w:t>2 512</w:t>
            </w:r>
          </w:p>
        </w:tc>
        <w:tc>
          <w:tcPr>
            <w:tcW w:w="1026" w:type="dxa"/>
            <w:shd w:val="clear" w:color="auto" w:fill="F2F2F2" w:themeFill="background1" w:themeFillShade="F2"/>
          </w:tcPr>
          <w:p w14:paraId="47E2B333" w14:textId="77777777" w:rsidR="004874BF" w:rsidRPr="00FB35E4" w:rsidRDefault="004874BF" w:rsidP="00964BA1">
            <w:pPr>
              <w:spacing w:after="0" w:line="240" w:lineRule="auto"/>
              <w:jc w:val="center"/>
              <w:rPr>
                <w:color w:val="002060"/>
                <w:sz w:val="18"/>
              </w:rPr>
            </w:pPr>
            <w:r w:rsidRPr="00FB35E4">
              <w:rPr>
                <w:color w:val="002060"/>
                <w:sz w:val="18"/>
              </w:rPr>
              <w:t>1 163</w:t>
            </w:r>
          </w:p>
        </w:tc>
        <w:tc>
          <w:tcPr>
            <w:tcW w:w="1094" w:type="dxa"/>
            <w:shd w:val="clear" w:color="auto" w:fill="F2F2F2" w:themeFill="background1" w:themeFillShade="F2"/>
          </w:tcPr>
          <w:p w14:paraId="5F019626" w14:textId="77777777" w:rsidR="004874BF" w:rsidRPr="00FB35E4" w:rsidRDefault="004874BF" w:rsidP="00964BA1">
            <w:pPr>
              <w:spacing w:after="0" w:line="240" w:lineRule="auto"/>
              <w:jc w:val="center"/>
              <w:rPr>
                <w:color w:val="002060"/>
                <w:sz w:val="18"/>
              </w:rPr>
            </w:pPr>
            <w:r w:rsidRPr="00FB35E4">
              <w:rPr>
                <w:color w:val="002060"/>
                <w:sz w:val="18"/>
              </w:rPr>
              <w:t>28</w:t>
            </w:r>
          </w:p>
        </w:tc>
        <w:tc>
          <w:tcPr>
            <w:tcW w:w="1026" w:type="dxa"/>
            <w:shd w:val="clear" w:color="auto" w:fill="D9D9D9" w:themeFill="background1" w:themeFillShade="D9"/>
          </w:tcPr>
          <w:p w14:paraId="5AEA1BDA" w14:textId="77777777" w:rsidR="004874BF" w:rsidRPr="00553A3B" w:rsidRDefault="004874BF" w:rsidP="00964BA1">
            <w:pPr>
              <w:spacing w:after="0" w:line="240" w:lineRule="auto"/>
              <w:jc w:val="center"/>
              <w:rPr>
                <w:b/>
                <w:color w:val="002060"/>
                <w:sz w:val="18"/>
              </w:rPr>
            </w:pPr>
            <w:r w:rsidRPr="00553A3B">
              <w:rPr>
                <w:b/>
                <w:color w:val="002060"/>
                <w:sz w:val="18"/>
              </w:rPr>
              <w:t>3 703</w:t>
            </w:r>
          </w:p>
        </w:tc>
        <w:tc>
          <w:tcPr>
            <w:tcW w:w="712" w:type="dxa"/>
            <w:shd w:val="clear" w:color="auto" w:fill="F2F2F2" w:themeFill="background1" w:themeFillShade="F2"/>
            <w:noWrap/>
            <w:hideMark/>
          </w:tcPr>
          <w:p w14:paraId="623B512F"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18A673DC"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44B77518"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07408D0C" w14:textId="77777777" w:rsidTr="00060C3E">
        <w:trPr>
          <w:trHeight w:val="300"/>
        </w:trPr>
        <w:tc>
          <w:tcPr>
            <w:tcW w:w="2127" w:type="dxa"/>
            <w:shd w:val="clear" w:color="auto" w:fill="F2F2F2" w:themeFill="background1" w:themeFillShade="F2"/>
            <w:noWrap/>
            <w:hideMark/>
          </w:tcPr>
          <w:p w14:paraId="13539107" w14:textId="77777777" w:rsidR="004874BF" w:rsidRPr="00FB35E4" w:rsidRDefault="004874BF" w:rsidP="00964BA1">
            <w:pPr>
              <w:spacing w:after="0" w:line="240" w:lineRule="auto"/>
              <w:rPr>
                <w:color w:val="002060"/>
                <w:sz w:val="18"/>
              </w:rPr>
            </w:pPr>
            <w:r w:rsidRPr="00FB35E4">
              <w:rPr>
                <w:color w:val="002060"/>
                <w:sz w:val="18"/>
              </w:rPr>
              <w:t>Beverages and tobacco</w:t>
            </w:r>
          </w:p>
        </w:tc>
        <w:tc>
          <w:tcPr>
            <w:tcW w:w="1134" w:type="dxa"/>
            <w:shd w:val="clear" w:color="auto" w:fill="F2F2F2" w:themeFill="background1" w:themeFillShade="F2"/>
          </w:tcPr>
          <w:p w14:paraId="07EF6EE5" w14:textId="77777777" w:rsidR="004874BF" w:rsidRPr="00FB35E4" w:rsidRDefault="004874BF" w:rsidP="00964BA1">
            <w:pPr>
              <w:spacing w:after="0" w:line="240" w:lineRule="auto"/>
              <w:jc w:val="center"/>
              <w:rPr>
                <w:color w:val="002060"/>
                <w:sz w:val="18"/>
              </w:rPr>
            </w:pPr>
            <w:r w:rsidRPr="00FB35E4">
              <w:rPr>
                <w:color w:val="002060"/>
                <w:sz w:val="18"/>
              </w:rPr>
              <w:t>391</w:t>
            </w:r>
          </w:p>
        </w:tc>
        <w:tc>
          <w:tcPr>
            <w:tcW w:w="1026" w:type="dxa"/>
            <w:shd w:val="clear" w:color="auto" w:fill="F2F2F2" w:themeFill="background1" w:themeFillShade="F2"/>
          </w:tcPr>
          <w:p w14:paraId="077E0742" w14:textId="77777777" w:rsidR="004874BF" w:rsidRPr="00FB35E4" w:rsidRDefault="004874BF" w:rsidP="00964BA1">
            <w:pPr>
              <w:spacing w:after="0" w:line="240" w:lineRule="auto"/>
              <w:jc w:val="center"/>
              <w:rPr>
                <w:color w:val="002060"/>
                <w:sz w:val="18"/>
              </w:rPr>
            </w:pPr>
            <w:r w:rsidRPr="00FB35E4">
              <w:rPr>
                <w:color w:val="002060"/>
                <w:sz w:val="18"/>
              </w:rPr>
              <w:t>21</w:t>
            </w:r>
          </w:p>
        </w:tc>
        <w:tc>
          <w:tcPr>
            <w:tcW w:w="1094" w:type="dxa"/>
            <w:shd w:val="clear" w:color="auto" w:fill="F2F2F2" w:themeFill="background1" w:themeFillShade="F2"/>
          </w:tcPr>
          <w:p w14:paraId="08E92E12"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D9D9D9" w:themeFill="background1" w:themeFillShade="D9"/>
          </w:tcPr>
          <w:p w14:paraId="749919C4" w14:textId="77777777" w:rsidR="004874BF" w:rsidRPr="00553A3B" w:rsidRDefault="004874BF" w:rsidP="00964BA1">
            <w:pPr>
              <w:spacing w:after="0" w:line="240" w:lineRule="auto"/>
              <w:jc w:val="center"/>
              <w:rPr>
                <w:b/>
                <w:color w:val="002060"/>
                <w:sz w:val="18"/>
              </w:rPr>
            </w:pPr>
            <w:r w:rsidRPr="00553A3B">
              <w:rPr>
                <w:b/>
                <w:color w:val="002060"/>
                <w:sz w:val="18"/>
              </w:rPr>
              <w:t>412</w:t>
            </w:r>
          </w:p>
        </w:tc>
        <w:tc>
          <w:tcPr>
            <w:tcW w:w="712" w:type="dxa"/>
            <w:shd w:val="clear" w:color="auto" w:fill="F2F2F2" w:themeFill="background1" w:themeFillShade="F2"/>
            <w:noWrap/>
            <w:hideMark/>
          </w:tcPr>
          <w:p w14:paraId="307E5B02"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7A76174B"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1F688199"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4257F2F9" w14:textId="77777777" w:rsidTr="00060C3E">
        <w:trPr>
          <w:trHeight w:val="300"/>
        </w:trPr>
        <w:tc>
          <w:tcPr>
            <w:tcW w:w="2127" w:type="dxa"/>
            <w:shd w:val="clear" w:color="auto" w:fill="F2F2F2" w:themeFill="background1" w:themeFillShade="F2"/>
            <w:noWrap/>
            <w:hideMark/>
          </w:tcPr>
          <w:p w14:paraId="526FBD41" w14:textId="77777777" w:rsidR="004874BF" w:rsidRPr="00FB35E4" w:rsidRDefault="004874BF" w:rsidP="00964BA1">
            <w:pPr>
              <w:spacing w:after="0" w:line="240" w:lineRule="auto"/>
              <w:rPr>
                <w:color w:val="002060"/>
                <w:sz w:val="18"/>
              </w:rPr>
            </w:pPr>
            <w:r w:rsidRPr="00FB35E4">
              <w:rPr>
                <w:color w:val="002060"/>
                <w:sz w:val="18"/>
              </w:rPr>
              <w:t>Textiles and footwear</w:t>
            </w:r>
          </w:p>
        </w:tc>
        <w:tc>
          <w:tcPr>
            <w:tcW w:w="1134" w:type="dxa"/>
            <w:shd w:val="clear" w:color="auto" w:fill="F2F2F2" w:themeFill="background1" w:themeFillShade="F2"/>
          </w:tcPr>
          <w:p w14:paraId="23BC53C9" w14:textId="77777777" w:rsidR="004874BF" w:rsidRPr="00FB35E4" w:rsidRDefault="004874BF" w:rsidP="00964BA1">
            <w:pPr>
              <w:spacing w:after="0" w:line="240" w:lineRule="auto"/>
              <w:jc w:val="center"/>
              <w:rPr>
                <w:color w:val="002060"/>
                <w:sz w:val="18"/>
              </w:rPr>
            </w:pPr>
            <w:r w:rsidRPr="00FB35E4">
              <w:rPr>
                <w:color w:val="002060"/>
                <w:sz w:val="18"/>
              </w:rPr>
              <w:t>1 285</w:t>
            </w:r>
          </w:p>
        </w:tc>
        <w:tc>
          <w:tcPr>
            <w:tcW w:w="1026" w:type="dxa"/>
            <w:shd w:val="clear" w:color="auto" w:fill="F2F2F2" w:themeFill="background1" w:themeFillShade="F2"/>
          </w:tcPr>
          <w:p w14:paraId="0AE71273" w14:textId="77777777" w:rsidR="004874BF" w:rsidRPr="00FB35E4" w:rsidRDefault="004874BF" w:rsidP="00964BA1">
            <w:pPr>
              <w:spacing w:after="0" w:line="240" w:lineRule="auto"/>
              <w:jc w:val="center"/>
              <w:rPr>
                <w:color w:val="002060"/>
                <w:sz w:val="18"/>
              </w:rPr>
            </w:pPr>
            <w:r w:rsidRPr="00FB35E4">
              <w:rPr>
                <w:color w:val="002060"/>
                <w:sz w:val="18"/>
              </w:rPr>
              <w:t>410</w:t>
            </w:r>
          </w:p>
        </w:tc>
        <w:tc>
          <w:tcPr>
            <w:tcW w:w="1094" w:type="dxa"/>
            <w:shd w:val="clear" w:color="auto" w:fill="F2F2F2" w:themeFill="background1" w:themeFillShade="F2"/>
          </w:tcPr>
          <w:p w14:paraId="5DBB83BE"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D9D9D9" w:themeFill="background1" w:themeFillShade="D9"/>
          </w:tcPr>
          <w:p w14:paraId="7DB9F22D" w14:textId="77777777" w:rsidR="004874BF" w:rsidRPr="00553A3B" w:rsidRDefault="004874BF" w:rsidP="00964BA1">
            <w:pPr>
              <w:spacing w:after="0" w:line="240" w:lineRule="auto"/>
              <w:jc w:val="center"/>
              <w:rPr>
                <w:b/>
                <w:color w:val="002060"/>
                <w:sz w:val="18"/>
              </w:rPr>
            </w:pPr>
            <w:r w:rsidRPr="00553A3B">
              <w:rPr>
                <w:b/>
                <w:color w:val="002060"/>
                <w:sz w:val="18"/>
              </w:rPr>
              <w:t>1 695</w:t>
            </w:r>
          </w:p>
        </w:tc>
        <w:tc>
          <w:tcPr>
            <w:tcW w:w="712" w:type="dxa"/>
            <w:shd w:val="clear" w:color="auto" w:fill="F2F2F2" w:themeFill="background1" w:themeFillShade="F2"/>
            <w:noWrap/>
            <w:hideMark/>
          </w:tcPr>
          <w:p w14:paraId="618CA69A"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6BE03E54"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14C41B4C"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5E23D452" w14:textId="77777777" w:rsidTr="00060C3E">
        <w:trPr>
          <w:trHeight w:val="300"/>
        </w:trPr>
        <w:tc>
          <w:tcPr>
            <w:tcW w:w="2127" w:type="dxa"/>
            <w:shd w:val="clear" w:color="auto" w:fill="F2F2F2" w:themeFill="background1" w:themeFillShade="F2"/>
            <w:noWrap/>
            <w:hideMark/>
          </w:tcPr>
          <w:p w14:paraId="4311156C" w14:textId="77777777" w:rsidR="004874BF" w:rsidRPr="00FB35E4" w:rsidRDefault="004874BF" w:rsidP="00964BA1">
            <w:pPr>
              <w:spacing w:after="0" w:line="240" w:lineRule="auto"/>
              <w:rPr>
                <w:color w:val="002060"/>
                <w:sz w:val="18"/>
              </w:rPr>
            </w:pPr>
            <w:r w:rsidRPr="00FB35E4">
              <w:rPr>
                <w:color w:val="002060"/>
                <w:sz w:val="18"/>
              </w:rPr>
              <w:t>Wood and paper</w:t>
            </w:r>
          </w:p>
        </w:tc>
        <w:tc>
          <w:tcPr>
            <w:tcW w:w="1134" w:type="dxa"/>
            <w:shd w:val="clear" w:color="auto" w:fill="F2F2F2" w:themeFill="background1" w:themeFillShade="F2"/>
          </w:tcPr>
          <w:p w14:paraId="016F9758" w14:textId="77777777" w:rsidR="004874BF" w:rsidRPr="00FB35E4" w:rsidRDefault="004874BF" w:rsidP="00964BA1">
            <w:pPr>
              <w:spacing w:after="0" w:line="240" w:lineRule="auto"/>
              <w:jc w:val="center"/>
              <w:rPr>
                <w:color w:val="002060"/>
                <w:sz w:val="18"/>
              </w:rPr>
            </w:pPr>
            <w:r w:rsidRPr="00FB35E4">
              <w:rPr>
                <w:color w:val="002060"/>
                <w:sz w:val="18"/>
              </w:rPr>
              <w:t>921</w:t>
            </w:r>
          </w:p>
        </w:tc>
        <w:tc>
          <w:tcPr>
            <w:tcW w:w="1026" w:type="dxa"/>
            <w:shd w:val="clear" w:color="auto" w:fill="F2F2F2" w:themeFill="background1" w:themeFillShade="F2"/>
          </w:tcPr>
          <w:p w14:paraId="310DCCE8" w14:textId="77777777" w:rsidR="004874BF" w:rsidRPr="00FB35E4" w:rsidRDefault="004874BF" w:rsidP="00964BA1">
            <w:pPr>
              <w:spacing w:after="0" w:line="240" w:lineRule="auto"/>
              <w:jc w:val="center"/>
              <w:rPr>
                <w:color w:val="002060"/>
                <w:sz w:val="18"/>
              </w:rPr>
            </w:pPr>
            <w:r w:rsidRPr="00FB35E4">
              <w:rPr>
                <w:color w:val="002060"/>
                <w:sz w:val="18"/>
              </w:rPr>
              <w:t>128</w:t>
            </w:r>
          </w:p>
        </w:tc>
        <w:tc>
          <w:tcPr>
            <w:tcW w:w="1094" w:type="dxa"/>
            <w:shd w:val="clear" w:color="auto" w:fill="F2F2F2" w:themeFill="background1" w:themeFillShade="F2"/>
          </w:tcPr>
          <w:p w14:paraId="797AB420" w14:textId="77777777" w:rsidR="004874BF" w:rsidRPr="00FB35E4" w:rsidRDefault="004874BF" w:rsidP="00964BA1">
            <w:pPr>
              <w:spacing w:after="0" w:line="240" w:lineRule="auto"/>
              <w:jc w:val="center"/>
              <w:rPr>
                <w:color w:val="002060"/>
                <w:sz w:val="18"/>
              </w:rPr>
            </w:pPr>
            <w:r w:rsidRPr="00FB35E4">
              <w:rPr>
                <w:color w:val="002060"/>
                <w:sz w:val="18"/>
              </w:rPr>
              <w:t>26</w:t>
            </w:r>
          </w:p>
        </w:tc>
        <w:tc>
          <w:tcPr>
            <w:tcW w:w="1026" w:type="dxa"/>
            <w:shd w:val="clear" w:color="auto" w:fill="D9D9D9" w:themeFill="background1" w:themeFillShade="D9"/>
          </w:tcPr>
          <w:p w14:paraId="735D1EC7" w14:textId="77777777" w:rsidR="004874BF" w:rsidRPr="00553A3B" w:rsidRDefault="004874BF" w:rsidP="00964BA1">
            <w:pPr>
              <w:spacing w:after="0" w:line="240" w:lineRule="auto"/>
              <w:jc w:val="center"/>
              <w:rPr>
                <w:b/>
                <w:color w:val="002060"/>
                <w:sz w:val="18"/>
              </w:rPr>
            </w:pPr>
            <w:r w:rsidRPr="00553A3B">
              <w:rPr>
                <w:b/>
                <w:color w:val="002060"/>
                <w:sz w:val="18"/>
              </w:rPr>
              <w:t>1 075</w:t>
            </w:r>
          </w:p>
        </w:tc>
        <w:tc>
          <w:tcPr>
            <w:tcW w:w="712" w:type="dxa"/>
            <w:shd w:val="clear" w:color="auto" w:fill="F2F2F2" w:themeFill="background1" w:themeFillShade="F2"/>
            <w:noWrap/>
            <w:hideMark/>
          </w:tcPr>
          <w:p w14:paraId="5672B725"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09E8F437"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48ED996D"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3D91428D" w14:textId="77777777" w:rsidTr="00060C3E">
        <w:trPr>
          <w:trHeight w:val="300"/>
        </w:trPr>
        <w:tc>
          <w:tcPr>
            <w:tcW w:w="2127" w:type="dxa"/>
            <w:shd w:val="clear" w:color="auto" w:fill="F2F2F2" w:themeFill="background1" w:themeFillShade="F2"/>
            <w:noWrap/>
            <w:hideMark/>
          </w:tcPr>
          <w:p w14:paraId="1F9532F2" w14:textId="77777777" w:rsidR="004874BF" w:rsidRPr="00FB35E4" w:rsidRDefault="004874BF" w:rsidP="00964BA1">
            <w:pPr>
              <w:spacing w:after="0" w:line="240" w:lineRule="auto"/>
              <w:rPr>
                <w:color w:val="002060"/>
                <w:sz w:val="18"/>
              </w:rPr>
            </w:pPr>
            <w:r w:rsidRPr="00FB35E4">
              <w:rPr>
                <w:color w:val="002060"/>
                <w:sz w:val="18"/>
              </w:rPr>
              <w:t>Print and publication</w:t>
            </w:r>
          </w:p>
        </w:tc>
        <w:tc>
          <w:tcPr>
            <w:tcW w:w="1134" w:type="dxa"/>
            <w:shd w:val="clear" w:color="auto" w:fill="F2F2F2" w:themeFill="background1" w:themeFillShade="F2"/>
          </w:tcPr>
          <w:p w14:paraId="39D029A2" w14:textId="77777777" w:rsidR="004874BF" w:rsidRPr="00FB35E4" w:rsidRDefault="004874BF" w:rsidP="00964BA1">
            <w:pPr>
              <w:spacing w:after="0" w:line="240" w:lineRule="auto"/>
              <w:jc w:val="center"/>
              <w:rPr>
                <w:color w:val="002060"/>
                <w:sz w:val="18"/>
              </w:rPr>
            </w:pPr>
            <w:r w:rsidRPr="00FB35E4">
              <w:rPr>
                <w:color w:val="002060"/>
                <w:sz w:val="18"/>
              </w:rPr>
              <w:t>2 057</w:t>
            </w:r>
          </w:p>
        </w:tc>
        <w:tc>
          <w:tcPr>
            <w:tcW w:w="1026" w:type="dxa"/>
            <w:shd w:val="clear" w:color="auto" w:fill="F2F2F2" w:themeFill="background1" w:themeFillShade="F2"/>
          </w:tcPr>
          <w:p w14:paraId="01D9FCC7" w14:textId="77777777" w:rsidR="004874BF" w:rsidRPr="00FB35E4" w:rsidRDefault="004874BF" w:rsidP="00964BA1">
            <w:pPr>
              <w:spacing w:after="0" w:line="240" w:lineRule="auto"/>
              <w:jc w:val="center"/>
              <w:rPr>
                <w:color w:val="002060"/>
                <w:sz w:val="18"/>
              </w:rPr>
            </w:pPr>
            <w:r w:rsidRPr="00FB35E4">
              <w:rPr>
                <w:color w:val="002060"/>
                <w:sz w:val="18"/>
              </w:rPr>
              <w:t>5 936</w:t>
            </w:r>
          </w:p>
        </w:tc>
        <w:tc>
          <w:tcPr>
            <w:tcW w:w="1094" w:type="dxa"/>
            <w:shd w:val="clear" w:color="auto" w:fill="F2F2F2" w:themeFill="background1" w:themeFillShade="F2"/>
          </w:tcPr>
          <w:p w14:paraId="22C3185D" w14:textId="77777777" w:rsidR="004874BF" w:rsidRPr="00FB35E4" w:rsidRDefault="004874BF" w:rsidP="00964BA1">
            <w:pPr>
              <w:spacing w:after="0" w:line="240" w:lineRule="auto"/>
              <w:jc w:val="center"/>
              <w:rPr>
                <w:color w:val="002060"/>
                <w:sz w:val="18"/>
              </w:rPr>
            </w:pPr>
            <w:r w:rsidRPr="00FB35E4">
              <w:rPr>
                <w:color w:val="002060"/>
                <w:sz w:val="18"/>
              </w:rPr>
              <w:t>1 068</w:t>
            </w:r>
          </w:p>
        </w:tc>
        <w:tc>
          <w:tcPr>
            <w:tcW w:w="1026" w:type="dxa"/>
            <w:shd w:val="clear" w:color="auto" w:fill="D9D9D9" w:themeFill="background1" w:themeFillShade="D9"/>
          </w:tcPr>
          <w:p w14:paraId="318A78DC" w14:textId="77777777" w:rsidR="004874BF" w:rsidRPr="00553A3B" w:rsidRDefault="004874BF" w:rsidP="00964BA1">
            <w:pPr>
              <w:spacing w:after="0" w:line="240" w:lineRule="auto"/>
              <w:jc w:val="center"/>
              <w:rPr>
                <w:b/>
                <w:color w:val="002060"/>
                <w:sz w:val="18"/>
              </w:rPr>
            </w:pPr>
            <w:r w:rsidRPr="00553A3B">
              <w:rPr>
                <w:b/>
                <w:color w:val="002060"/>
                <w:sz w:val="18"/>
              </w:rPr>
              <w:t>9 061</w:t>
            </w:r>
          </w:p>
        </w:tc>
        <w:tc>
          <w:tcPr>
            <w:tcW w:w="712" w:type="dxa"/>
            <w:shd w:val="clear" w:color="auto" w:fill="F2F2F2" w:themeFill="background1" w:themeFillShade="F2"/>
            <w:noWrap/>
            <w:hideMark/>
          </w:tcPr>
          <w:p w14:paraId="284B6EEF"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70EB8696"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16971870"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11251877" w14:textId="77777777" w:rsidTr="00060C3E">
        <w:trPr>
          <w:trHeight w:val="300"/>
        </w:trPr>
        <w:tc>
          <w:tcPr>
            <w:tcW w:w="2127" w:type="dxa"/>
            <w:shd w:val="clear" w:color="auto" w:fill="F2F2F2" w:themeFill="background1" w:themeFillShade="F2"/>
            <w:noWrap/>
            <w:hideMark/>
          </w:tcPr>
          <w:p w14:paraId="08B2E81A" w14:textId="77777777" w:rsidR="004874BF" w:rsidRPr="00FB35E4" w:rsidRDefault="004874BF" w:rsidP="00964BA1">
            <w:pPr>
              <w:spacing w:after="0" w:line="240" w:lineRule="auto"/>
              <w:rPr>
                <w:color w:val="002060"/>
                <w:sz w:val="18"/>
              </w:rPr>
            </w:pPr>
            <w:r w:rsidRPr="00FB35E4">
              <w:rPr>
                <w:color w:val="002060"/>
                <w:sz w:val="18"/>
              </w:rPr>
              <w:t>Coke Oven</w:t>
            </w:r>
          </w:p>
        </w:tc>
        <w:tc>
          <w:tcPr>
            <w:tcW w:w="1134" w:type="dxa"/>
            <w:shd w:val="clear" w:color="auto" w:fill="F2F2F2" w:themeFill="background1" w:themeFillShade="F2"/>
          </w:tcPr>
          <w:p w14:paraId="527EEEDB" w14:textId="77777777" w:rsidR="004874BF" w:rsidRPr="00FB35E4" w:rsidRDefault="004874BF" w:rsidP="00964BA1">
            <w:pPr>
              <w:spacing w:after="0" w:line="240" w:lineRule="auto"/>
              <w:jc w:val="center"/>
              <w:rPr>
                <w:color w:val="002060"/>
                <w:sz w:val="18"/>
              </w:rPr>
            </w:pPr>
            <w:r w:rsidRPr="00FB35E4">
              <w:rPr>
                <w:color w:val="002060"/>
                <w:sz w:val="18"/>
              </w:rPr>
              <w:t>62 454</w:t>
            </w:r>
          </w:p>
        </w:tc>
        <w:tc>
          <w:tcPr>
            <w:tcW w:w="1026" w:type="dxa"/>
            <w:shd w:val="clear" w:color="auto" w:fill="F2F2F2" w:themeFill="background1" w:themeFillShade="F2"/>
          </w:tcPr>
          <w:p w14:paraId="6A9E3759" w14:textId="77777777" w:rsidR="004874BF" w:rsidRPr="00FB35E4" w:rsidRDefault="004874BF" w:rsidP="00964BA1">
            <w:pPr>
              <w:spacing w:after="0" w:line="240" w:lineRule="auto"/>
              <w:jc w:val="center"/>
              <w:rPr>
                <w:color w:val="002060"/>
                <w:sz w:val="18"/>
              </w:rPr>
            </w:pPr>
            <w:r w:rsidRPr="00FB35E4">
              <w:rPr>
                <w:color w:val="002060"/>
                <w:sz w:val="18"/>
              </w:rPr>
              <w:t>94 566</w:t>
            </w:r>
          </w:p>
        </w:tc>
        <w:tc>
          <w:tcPr>
            <w:tcW w:w="1094" w:type="dxa"/>
            <w:shd w:val="clear" w:color="auto" w:fill="F2F2F2" w:themeFill="background1" w:themeFillShade="F2"/>
          </w:tcPr>
          <w:p w14:paraId="52BE51D5" w14:textId="77777777" w:rsidR="004874BF" w:rsidRPr="00FB35E4" w:rsidRDefault="004874BF" w:rsidP="00964BA1">
            <w:pPr>
              <w:spacing w:after="0" w:line="240" w:lineRule="auto"/>
              <w:jc w:val="center"/>
              <w:rPr>
                <w:color w:val="002060"/>
                <w:sz w:val="18"/>
              </w:rPr>
            </w:pPr>
            <w:r w:rsidRPr="00FB35E4">
              <w:rPr>
                <w:color w:val="002060"/>
                <w:sz w:val="18"/>
              </w:rPr>
              <w:t>1 358</w:t>
            </w:r>
          </w:p>
        </w:tc>
        <w:tc>
          <w:tcPr>
            <w:tcW w:w="1026" w:type="dxa"/>
            <w:shd w:val="clear" w:color="auto" w:fill="D9D9D9" w:themeFill="background1" w:themeFillShade="D9"/>
          </w:tcPr>
          <w:p w14:paraId="6A5645EC" w14:textId="77777777" w:rsidR="004874BF" w:rsidRPr="00553A3B" w:rsidRDefault="004874BF" w:rsidP="00964BA1">
            <w:pPr>
              <w:spacing w:after="0" w:line="240" w:lineRule="auto"/>
              <w:jc w:val="center"/>
              <w:rPr>
                <w:b/>
                <w:color w:val="002060"/>
                <w:sz w:val="18"/>
              </w:rPr>
            </w:pPr>
            <w:r w:rsidRPr="00553A3B">
              <w:rPr>
                <w:b/>
                <w:color w:val="002060"/>
                <w:sz w:val="18"/>
              </w:rPr>
              <w:t>158 378</w:t>
            </w:r>
          </w:p>
        </w:tc>
        <w:tc>
          <w:tcPr>
            <w:tcW w:w="712" w:type="dxa"/>
            <w:shd w:val="clear" w:color="auto" w:fill="F2F2F2" w:themeFill="background1" w:themeFillShade="F2"/>
            <w:noWrap/>
            <w:hideMark/>
          </w:tcPr>
          <w:p w14:paraId="0AC55E02"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50B41C16"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28A65C06"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1547530A" w14:textId="77777777" w:rsidTr="00060C3E">
        <w:trPr>
          <w:trHeight w:val="300"/>
        </w:trPr>
        <w:tc>
          <w:tcPr>
            <w:tcW w:w="2127" w:type="dxa"/>
            <w:shd w:val="clear" w:color="auto" w:fill="F2F2F2" w:themeFill="background1" w:themeFillShade="F2"/>
            <w:noWrap/>
            <w:hideMark/>
          </w:tcPr>
          <w:p w14:paraId="57284F3E" w14:textId="77777777" w:rsidR="004874BF" w:rsidRPr="00FB35E4" w:rsidRDefault="004874BF" w:rsidP="00964BA1">
            <w:pPr>
              <w:spacing w:after="0" w:line="240" w:lineRule="auto"/>
              <w:rPr>
                <w:color w:val="002060"/>
                <w:sz w:val="18"/>
              </w:rPr>
            </w:pPr>
            <w:r w:rsidRPr="00FB35E4">
              <w:rPr>
                <w:color w:val="002060"/>
                <w:sz w:val="18"/>
              </w:rPr>
              <w:t>Petroleum refineries</w:t>
            </w:r>
          </w:p>
        </w:tc>
        <w:tc>
          <w:tcPr>
            <w:tcW w:w="1134" w:type="dxa"/>
            <w:shd w:val="clear" w:color="auto" w:fill="F2F2F2" w:themeFill="background1" w:themeFillShade="F2"/>
          </w:tcPr>
          <w:p w14:paraId="4074D856" w14:textId="77777777" w:rsidR="004874BF" w:rsidRPr="00FB35E4" w:rsidRDefault="004874BF" w:rsidP="00964BA1">
            <w:pPr>
              <w:spacing w:after="0" w:line="240" w:lineRule="auto"/>
              <w:jc w:val="center"/>
              <w:rPr>
                <w:color w:val="002060"/>
                <w:sz w:val="18"/>
              </w:rPr>
            </w:pPr>
            <w:r w:rsidRPr="00FB35E4">
              <w:rPr>
                <w:color w:val="002060"/>
                <w:sz w:val="18"/>
              </w:rPr>
              <w:t>145 726</w:t>
            </w:r>
          </w:p>
        </w:tc>
        <w:tc>
          <w:tcPr>
            <w:tcW w:w="1026" w:type="dxa"/>
            <w:shd w:val="clear" w:color="auto" w:fill="F2F2F2" w:themeFill="background1" w:themeFillShade="F2"/>
          </w:tcPr>
          <w:p w14:paraId="5D9C3AC6" w14:textId="77777777" w:rsidR="004874BF" w:rsidRPr="00FB35E4" w:rsidRDefault="004874BF" w:rsidP="00964BA1">
            <w:pPr>
              <w:spacing w:after="0" w:line="240" w:lineRule="auto"/>
              <w:jc w:val="center"/>
              <w:rPr>
                <w:color w:val="002060"/>
                <w:sz w:val="18"/>
              </w:rPr>
            </w:pPr>
            <w:r w:rsidRPr="00FB35E4">
              <w:rPr>
                <w:color w:val="002060"/>
                <w:sz w:val="18"/>
              </w:rPr>
              <w:t>535 866</w:t>
            </w:r>
          </w:p>
        </w:tc>
        <w:tc>
          <w:tcPr>
            <w:tcW w:w="1094" w:type="dxa"/>
            <w:shd w:val="clear" w:color="auto" w:fill="F2F2F2" w:themeFill="background1" w:themeFillShade="F2"/>
          </w:tcPr>
          <w:p w14:paraId="4D87AE79" w14:textId="77777777" w:rsidR="004874BF" w:rsidRPr="00FB35E4" w:rsidRDefault="004874BF" w:rsidP="00964BA1">
            <w:pPr>
              <w:spacing w:after="0" w:line="240" w:lineRule="auto"/>
              <w:jc w:val="center"/>
              <w:rPr>
                <w:color w:val="002060"/>
                <w:sz w:val="18"/>
              </w:rPr>
            </w:pPr>
            <w:r w:rsidRPr="00FB35E4">
              <w:rPr>
                <w:color w:val="002060"/>
                <w:sz w:val="18"/>
              </w:rPr>
              <w:t>5 428</w:t>
            </w:r>
          </w:p>
        </w:tc>
        <w:tc>
          <w:tcPr>
            <w:tcW w:w="1026" w:type="dxa"/>
            <w:shd w:val="clear" w:color="auto" w:fill="D9D9D9" w:themeFill="background1" w:themeFillShade="D9"/>
          </w:tcPr>
          <w:p w14:paraId="693D2B0D" w14:textId="77777777" w:rsidR="004874BF" w:rsidRPr="00553A3B" w:rsidRDefault="004874BF" w:rsidP="00964BA1">
            <w:pPr>
              <w:spacing w:after="0" w:line="240" w:lineRule="auto"/>
              <w:jc w:val="center"/>
              <w:rPr>
                <w:b/>
                <w:color w:val="002060"/>
                <w:sz w:val="18"/>
              </w:rPr>
            </w:pPr>
            <w:r w:rsidRPr="00553A3B">
              <w:rPr>
                <w:b/>
                <w:color w:val="002060"/>
                <w:sz w:val="18"/>
              </w:rPr>
              <w:t>687 019</w:t>
            </w:r>
          </w:p>
        </w:tc>
        <w:tc>
          <w:tcPr>
            <w:tcW w:w="712" w:type="dxa"/>
            <w:shd w:val="clear" w:color="auto" w:fill="F2F2F2" w:themeFill="background1" w:themeFillShade="F2"/>
            <w:noWrap/>
            <w:hideMark/>
          </w:tcPr>
          <w:p w14:paraId="6AA97C6B"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031707E4"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25966256"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45834480" w14:textId="77777777" w:rsidTr="00060C3E">
        <w:trPr>
          <w:trHeight w:val="300"/>
        </w:trPr>
        <w:tc>
          <w:tcPr>
            <w:tcW w:w="2127" w:type="dxa"/>
            <w:shd w:val="clear" w:color="auto" w:fill="F2F2F2" w:themeFill="background1" w:themeFillShade="F2"/>
            <w:noWrap/>
            <w:hideMark/>
          </w:tcPr>
          <w:p w14:paraId="6C497049" w14:textId="77777777" w:rsidR="004874BF" w:rsidRPr="00FB35E4" w:rsidRDefault="004874BF" w:rsidP="00964BA1">
            <w:pPr>
              <w:spacing w:after="0" w:line="240" w:lineRule="auto"/>
              <w:rPr>
                <w:color w:val="002060"/>
                <w:sz w:val="18"/>
              </w:rPr>
            </w:pPr>
            <w:r w:rsidRPr="00FB35E4">
              <w:rPr>
                <w:color w:val="002060"/>
                <w:sz w:val="18"/>
              </w:rPr>
              <w:t>Nuclear fuels</w:t>
            </w:r>
          </w:p>
        </w:tc>
        <w:tc>
          <w:tcPr>
            <w:tcW w:w="1134" w:type="dxa"/>
            <w:shd w:val="clear" w:color="auto" w:fill="F2F2F2" w:themeFill="background1" w:themeFillShade="F2"/>
          </w:tcPr>
          <w:p w14:paraId="58658F90" w14:textId="77777777" w:rsidR="004874BF" w:rsidRPr="00FB35E4" w:rsidRDefault="004874BF" w:rsidP="00964BA1">
            <w:pPr>
              <w:spacing w:after="0" w:line="240" w:lineRule="auto"/>
              <w:jc w:val="center"/>
              <w:rPr>
                <w:color w:val="002060"/>
                <w:sz w:val="18"/>
              </w:rPr>
            </w:pPr>
            <w:r w:rsidRPr="00FB35E4">
              <w:rPr>
                <w:color w:val="002060"/>
                <w:sz w:val="18"/>
              </w:rPr>
              <w:t>1 299</w:t>
            </w:r>
          </w:p>
        </w:tc>
        <w:tc>
          <w:tcPr>
            <w:tcW w:w="1026" w:type="dxa"/>
            <w:shd w:val="clear" w:color="auto" w:fill="F2F2F2" w:themeFill="background1" w:themeFillShade="F2"/>
          </w:tcPr>
          <w:p w14:paraId="4B4168A5" w14:textId="77777777" w:rsidR="004874BF" w:rsidRPr="00FB35E4" w:rsidRDefault="004874BF" w:rsidP="00964BA1">
            <w:pPr>
              <w:spacing w:after="0" w:line="240" w:lineRule="auto"/>
              <w:jc w:val="center"/>
              <w:rPr>
                <w:color w:val="002060"/>
                <w:sz w:val="18"/>
              </w:rPr>
            </w:pPr>
            <w:r w:rsidRPr="00FB35E4">
              <w:rPr>
                <w:color w:val="002060"/>
                <w:sz w:val="18"/>
              </w:rPr>
              <w:t>22 789</w:t>
            </w:r>
          </w:p>
        </w:tc>
        <w:tc>
          <w:tcPr>
            <w:tcW w:w="1094" w:type="dxa"/>
            <w:shd w:val="clear" w:color="auto" w:fill="F2F2F2" w:themeFill="background1" w:themeFillShade="F2"/>
          </w:tcPr>
          <w:p w14:paraId="275859E9" w14:textId="77777777" w:rsidR="004874BF" w:rsidRPr="00FB35E4" w:rsidRDefault="004874BF" w:rsidP="00964BA1">
            <w:pPr>
              <w:spacing w:after="0" w:line="240" w:lineRule="auto"/>
              <w:jc w:val="center"/>
              <w:rPr>
                <w:color w:val="002060"/>
                <w:sz w:val="18"/>
              </w:rPr>
            </w:pPr>
            <w:r w:rsidRPr="00FB35E4">
              <w:rPr>
                <w:color w:val="002060"/>
                <w:sz w:val="18"/>
              </w:rPr>
              <w:t>4 806</w:t>
            </w:r>
          </w:p>
        </w:tc>
        <w:tc>
          <w:tcPr>
            <w:tcW w:w="1026" w:type="dxa"/>
            <w:shd w:val="clear" w:color="auto" w:fill="D9D9D9" w:themeFill="background1" w:themeFillShade="D9"/>
          </w:tcPr>
          <w:p w14:paraId="037DFC91" w14:textId="77777777" w:rsidR="004874BF" w:rsidRPr="00553A3B" w:rsidRDefault="004874BF" w:rsidP="00964BA1">
            <w:pPr>
              <w:spacing w:after="0" w:line="240" w:lineRule="auto"/>
              <w:jc w:val="center"/>
              <w:rPr>
                <w:b/>
                <w:color w:val="002060"/>
                <w:sz w:val="18"/>
              </w:rPr>
            </w:pPr>
            <w:r w:rsidRPr="00553A3B">
              <w:rPr>
                <w:b/>
                <w:color w:val="002060"/>
                <w:sz w:val="18"/>
              </w:rPr>
              <w:t>28 893</w:t>
            </w:r>
          </w:p>
        </w:tc>
        <w:tc>
          <w:tcPr>
            <w:tcW w:w="712" w:type="dxa"/>
            <w:shd w:val="clear" w:color="auto" w:fill="F2F2F2" w:themeFill="background1" w:themeFillShade="F2"/>
            <w:noWrap/>
            <w:hideMark/>
          </w:tcPr>
          <w:p w14:paraId="134EEDA4"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55FF7170"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43AFACC1"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0CEB0A7B" w14:textId="77777777" w:rsidTr="00060C3E">
        <w:trPr>
          <w:trHeight w:val="300"/>
        </w:trPr>
        <w:tc>
          <w:tcPr>
            <w:tcW w:w="2127" w:type="dxa"/>
            <w:shd w:val="clear" w:color="auto" w:fill="F2F2F2" w:themeFill="background1" w:themeFillShade="F2"/>
            <w:noWrap/>
            <w:hideMark/>
          </w:tcPr>
          <w:p w14:paraId="57E7BAEA" w14:textId="77777777" w:rsidR="004874BF" w:rsidRPr="00FB35E4" w:rsidRDefault="004874BF" w:rsidP="00964BA1">
            <w:pPr>
              <w:spacing w:after="0" w:line="240" w:lineRule="auto"/>
              <w:rPr>
                <w:color w:val="002060"/>
                <w:sz w:val="18"/>
              </w:rPr>
            </w:pPr>
            <w:r w:rsidRPr="00FB35E4">
              <w:rPr>
                <w:color w:val="002060"/>
                <w:sz w:val="18"/>
              </w:rPr>
              <w:t>Chemical</w:t>
            </w:r>
          </w:p>
        </w:tc>
        <w:tc>
          <w:tcPr>
            <w:tcW w:w="1134" w:type="dxa"/>
            <w:shd w:val="clear" w:color="auto" w:fill="F2F2F2" w:themeFill="background1" w:themeFillShade="F2"/>
          </w:tcPr>
          <w:p w14:paraId="6FFA89BB" w14:textId="77777777" w:rsidR="004874BF" w:rsidRPr="00FB35E4" w:rsidRDefault="004874BF" w:rsidP="00964BA1">
            <w:pPr>
              <w:spacing w:after="0" w:line="240" w:lineRule="auto"/>
              <w:jc w:val="center"/>
              <w:rPr>
                <w:color w:val="002060"/>
                <w:sz w:val="18"/>
              </w:rPr>
            </w:pPr>
            <w:r w:rsidRPr="00FB35E4">
              <w:rPr>
                <w:color w:val="002060"/>
                <w:sz w:val="18"/>
              </w:rPr>
              <w:t>6 197</w:t>
            </w:r>
          </w:p>
        </w:tc>
        <w:tc>
          <w:tcPr>
            <w:tcW w:w="1026" w:type="dxa"/>
            <w:shd w:val="clear" w:color="auto" w:fill="F2F2F2" w:themeFill="background1" w:themeFillShade="F2"/>
          </w:tcPr>
          <w:p w14:paraId="7982CC42" w14:textId="77777777" w:rsidR="004874BF" w:rsidRPr="00FB35E4" w:rsidRDefault="004874BF" w:rsidP="00964BA1">
            <w:pPr>
              <w:spacing w:after="0" w:line="240" w:lineRule="auto"/>
              <w:jc w:val="center"/>
              <w:rPr>
                <w:color w:val="002060"/>
                <w:sz w:val="18"/>
              </w:rPr>
            </w:pPr>
            <w:r w:rsidRPr="00FB35E4">
              <w:rPr>
                <w:color w:val="002060"/>
                <w:sz w:val="18"/>
              </w:rPr>
              <w:t>108 714</w:t>
            </w:r>
          </w:p>
        </w:tc>
        <w:tc>
          <w:tcPr>
            <w:tcW w:w="1094" w:type="dxa"/>
            <w:shd w:val="clear" w:color="auto" w:fill="F2F2F2" w:themeFill="background1" w:themeFillShade="F2"/>
          </w:tcPr>
          <w:p w14:paraId="29E2ED99" w14:textId="77777777" w:rsidR="004874BF" w:rsidRPr="00FB35E4" w:rsidRDefault="004874BF" w:rsidP="00964BA1">
            <w:pPr>
              <w:spacing w:after="0" w:line="240" w:lineRule="auto"/>
              <w:jc w:val="center"/>
              <w:rPr>
                <w:color w:val="002060"/>
                <w:sz w:val="18"/>
              </w:rPr>
            </w:pPr>
            <w:r w:rsidRPr="00FB35E4">
              <w:rPr>
                <w:color w:val="002060"/>
                <w:sz w:val="18"/>
              </w:rPr>
              <w:t>22 925</w:t>
            </w:r>
          </w:p>
        </w:tc>
        <w:tc>
          <w:tcPr>
            <w:tcW w:w="1026" w:type="dxa"/>
            <w:shd w:val="clear" w:color="auto" w:fill="D9D9D9" w:themeFill="background1" w:themeFillShade="D9"/>
          </w:tcPr>
          <w:p w14:paraId="01C1D689" w14:textId="77777777" w:rsidR="004874BF" w:rsidRPr="00553A3B" w:rsidRDefault="004874BF" w:rsidP="00964BA1">
            <w:pPr>
              <w:spacing w:after="0" w:line="240" w:lineRule="auto"/>
              <w:jc w:val="center"/>
              <w:rPr>
                <w:b/>
                <w:color w:val="002060"/>
                <w:sz w:val="18"/>
              </w:rPr>
            </w:pPr>
            <w:r w:rsidRPr="00553A3B">
              <w:rPr>
                <w:b/>
                <w:color w:val="002060"/>
                <w:sz w:val="18"/>
              </w:rPr>
              <w:t>137 836</w:t>
            </w:r>
          </w:p>
        </w:tc>
        <w:tc>
          <w:tcPr>
            <w:tcW w:w="712" w:type="dxa"/>
            <w:shd w:val="clear" w:color="auto" w:fill="F2F2F2" w:themeFill="background1" w:themeFillShade="F2"/>
            <w:noWrap/>
            <w:hideMark/>
          </w:tcPr>
          <w:p w14:paraId="044FF1FB"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712" w:type="dxa"/>
            <w:shd w:val="clear" w:color="auto" w:fill="F2F2F2" w:themeFill="background1" w:themeFillShade="F2"/>
            <w:noWrap/>
            <w:hideMark/>
          </w:tcPr>
          <w:p w14:paraId="0A02E41C" w14:textId="77777777" w:rsidR="004874BF" w:rsidRPr="00FB35E4" w:rsidRDefault="004874BF" w:rsidP="00964BA1">
            <w:pPr>
              <w:spacing w:after="0" w:line="240" w:lineRule="auto"/>
              <w:jc w:val="center"/>
              <w:rPr>
                <w:color w:val="002060"/>
                <w:sz w:val="18"/>
              </w:rPr>
            </w:pPr>
            <w:r w:rsidRPr="00FB35E4">
              <w:rPr>
                <w:color w:val="002060"/>
                <w:sz w:val="18"/>
              </w:rPr>
              <w:t>1 529</w:t>
            </w:r>
          </w:p>
        </w:tc>
        <w:tc>
          <w:tcPr>
            <w:tcW w:w="1151" w:type="dxa"/>
            <w:shd w:val="clear" w:color="auto" w:fill="F2F2F2" w:themeFill="background1" w:themeFillShade="F2"/>
            <w:noWrap/>
            <w:hideMark/>
          </w:tcPr>
          <w:p w14:paraId="2BF5B9F1" w14:textId="77777777" w:rsidR="004874BF" w:rsidRPr="00FB35E4" w:rsidRDefault="004874BF" w:rsidP="00964BA1">
            <w:pPr>
              <w:spacing w:after="0" w:line="240" w:lineRule="auto"/>
              <w:jc w:val="center"/>
              <w:rPr>
                <w:color w:val="002060"/>
                <w:sz w:val="18"/>
              </w:rPr>
            </w:pPr>
            <w:r w:rsidRPr="00FB35E4">
              <w:rPr>
                <w:color w:val="002060"/>
                <w:sz w:val="18"/>
              </w:rPr>
              <w:t>1 741</w:t>
            </w:r>
          </w:p>
        </w:tc>
      </w:tr>
      <w:tr w:rsidR="004874BF" w:rsidRPr="00FB35E4" w14:paraId="2327978C" w14:textId="77777777" w:rsidTr="00060C3E">
        <w:trPr>
          <w:trHeight w:val="300"/>
        </w:trPr>
        <w:tc>
          <w:tcPr>
            <w:tcW w:w="2127" w:type="dxa"/>
            <w:shd w:val="clear" w:color="auto" w:fill="F2F2F2" w:themeFill="background1" w:themeFillShade="F2"/>
            <w:noWrap/>
            <w:hideMark/>
          </w:tcPr>
          <w:p w14:paraId="2FFDB88C" w14:textId="77777777" w:rsidR="004874BF" w:rsidRPr="00FB35E4" w:rsidRDefault="004874BF" w:rsidP="00964BA1">
            <w:pPr>
              <w:spacing w:after="0" w:line="240" w:lineRule="auto"/>
              <w:rPr>
                <w:color w:val="002060"/>
                <w:sz w:val="18"/>
              </w:rPr>
            </w:pPr>
            <w:r w:rsidRPr="00FB35E4">
              <w:rPr>
                <w:color w:val="002060"/>
                <w:sz w:val="18"/>
              </w:rPr>
              <w:t>Rubber</w:t>
            </w:r>
          </w:p>
        </w:tc>
        <w:tc>
          <w:tcPr>
            <w:tcW w:w="1134" w:type="dxa"/>
            <w:shd w:val="clear" w:color="auto" w:fill="F2F2F2" w:themeFill="background1" w:themeFillShade="F2"/>
          </w:tcPr>
          <w:p w14:paraId="339D9E9D" w14:textId="77777777" w:rsidR="004874BF" w:rsidRPr="00FB35E4" w:rsidRDefault="004874BF" w:rsidP="00964BA1">
            <w:pPr>
              <w:spacing w:after="0" w:line="240" w:lineRule="auto"/>
              <w:jc w:val="center"/>
              <w:rPr>
                <w:color w:val="002060"/>
                <w:sz w:val="18"/>
              </w:rPr>
            </w:pPr>
            <w:r w:rsidRPr="00FB35E4">
              <w:rPr>
                <w:color w:val="002060"/>
                <w:sz w:val="18"/>
              </w:rPr>
              <w:t>928</w:t>
            </w:r>
          </w:p>
        </w:tc>
        <w:tc>
          <w:tcPr>
            <w:tcW w:w="1026" w:type="dxa"/>
            <w:shd w:val="clear" w:color="auto" w:fill="F2F2F2" w:themeFill="background1" w:themeFillShade="F2"/>
          </w:tcPr>
          <w:p w14:paraId="40DAB903" w14:textId="77777777" w:rsidR="004874BF" w:rsidRPr="00FB35E4" w:rsidRDefault="004874BF" w:rsidP="00964BA1">
            <w:pPr>
              <w:spacing w:after="0" w:line="240" w:lineRule="auto"/>
              <w:jc w:val="center"/>
              <w:rPr>
                <w:color w:val="002060"/>
                <w:sz w:val="18"/>
              </w:rPr>
            </w:pPr>
            <w:r w:rsidRPr="00FB35E4">
              <w:rPr>
                <w:color w:val="002060"/>
                <w:sz w:val="18"/>
              </w:rPr>
              <w:t>213</w:t>
            </w:r>
          </w:p>
        </w:tc>
        <w:tc>
          <w:tcPr>
            <w:tcW w:w="1094" w:type="dxa"/>
            <w:shd w:val="clear" w:color="auto" w:fill="F2F2F2" w:themeFill="background1" w:themeFillShade="F2"/>
          </w:tcPr>
          <w:p w14:paraId="21F888F9" w14:textId="77777777" w:rsidR="004874BF" w:rsidRPr="00FB35E4" w:rsidRDefault="004874BF" w:rsidP="00964BA1">
            <w:pPr>
              <w:spacing w:after="0" w:line="240" w:lineRule="auto"/>
              <w:jc w:val="center"/>
              <w:rPr>
                <w:color w:val="002060"/>
                <w:sz w:val="18"/>
              </w:rPr>
            </w:pPr>
            <w:r w:rsidRPr="00FB35E4">
              <w:rPr>
                <w:color w:val="002060"/>
                <w:sz w:val="18"/>
              </w:rPr>
              <w:t>965</w:t>
            </w:r>
          </w:p>
        </w:tc>
        <w:tc>
          <w:tcPr>
            <w:tcW w:w="1026" w:type="dxa"/>
            <w:shd w:val="clear" w:color="auto" w:fill="D9D9D9" w:themeFill="background1" w:themeFillShade="D9"/>
          </w:tcPr>
          <w:p w14:paraId="56AB8CFA" w14:textId="77777777" w:rsidR="004874BF" w:rsidRPr="00553A3B" w:rsidRDefault="004874BF" w:rsidP="00964BA1">
            <w:pPr>
              <w:spacing w:after="0" w:line="240" w:lineRule="auto"/>
              <w:jc w:val="center"/>
              <w:rPr>
                <w:b/>
                <w:color w:val="002060"/>
                <w:sz w:val="18"/>
              </w:rPr>
            </w:pPr>
            <w:r w:rsidRPr="00553A3B">
              <w:rPr>
                <w:b/>
                <w:color w:val="002060"/>
                <w:sz w:val="18"/>
              </w:rPr>
              <w:t>2 106</w:t>
            </w:r>
          </w:p>
        </w:tc>
        <w:tc>
          <w:tcPr>
            <w:tcW w:w="712" w:type="dxa"/>
            <w:shd w:val="clear" w:color="auto" w:fill="F2F2F2" w:themeFill="background1" w:themeFillShade="F2"/>
            <w:noWrap/>
            <w:hideMark/>
          </w:tcPr>
          <w:p w14:paraId="0E4C2877"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712" w:type="dxa"/>
            <w:shd w:val="clear" w:color="auto" w:fill="F2F2F2" w:themeFill="background1" w:themeFillShade="F2"/>
            <w:noWrap/>
            <w:hideMark/>
          </w:tcPr>
          <w:p w14:paraId="1AB92850" w14:textId="77777777" w:rsidR="004874BF" w:rsidRPr="00FB35E4" w:rsidRDefault="004874BF" w:rsidP="00964BA1">
            <w:pPr>
              <w:spacing w:after="0" w:line="240" w:lineRule="auto"/>
              <w:jc w:val="center"/>
              <w:rPr>
                <w:color w:val="002060"/>
                <w:sz w:val="18"/>
              </w:rPr>
            </w:pPr>
            <w:r w:rsidRPr="00FB35E4">
              <w:rPr>
                <w:color w:val="002060"/>
                <w:sz w:val="18"/>
              </w:rPr>
              <w:t>1 529</w:t>
            </w:r>
          </w:p>
        </w:tc>
        <w:tc>
          <w:tcPr>
            <w:tcW w:w="1151" w:type="dxa"/>
            <w:shd w:val="clear" w:color="auto" w:fill="F2F2F2" w:themeFill="background1" w:themeFillShade="F2"/>
            <w:noWrap/>
            <w:hideMark/>
          </w:tcPr>
          <w:p w14:paraId="4C4C38B0" w14:textId="77777777" w:rsidR="004874BF" w:rsidRPr="00FB35E4" w:rsidRDefault="004874BF" w:rsidP="00964BA1">
            <w:pPr>
              <w:spacing w:after="0" w:line="240" w:lineRule="auto"/>
              <w:jc w:val="center"/>
              <w:rPr>
                <w:color w:val="002060"/>
                <w:sz w:val="18"/>
              </w:rPr>
            </w:pPr>
            <w:r w:rsidRPr="00FB35E4">
              <w:rPr>
                <w:color w:val="002060"/>
                <w:sz w:val="18"/>
              </w:rPr>
              <w:t>1 741</w:t>
            </w:r>
          </w:p>
        </w:tc>
      </w:tr>
      <w:tr w:rsidR="004874BF" w:rsidRPr="00FB35E4" w14:paraId="0EBF6ACB" w14:textId="77777777" w:rsidTr="00060C3E">
        <w:trPr>
          <w:trHeight w:val="300"/>
        </w:trPr>
        <w:tc>
          <w:tcPr>
            <w:tcW w:w="2127" w:type="dxa"/>
            <w:shd w:val="clear" w:color="auto" w:fill="F2F2F2" w:themeFill="background1" w:themeFillShade="F2"/>
            <w:noWrap/>
            <w:hideMark/>
          </w:tcPr>
          <w:p w14:paraId="40EDA702" w14:textId="77777777" w:rsidR="004874BF" w:rsidRPr="00FB35E4" w:rsidRDefault="004874BF" w:rsidP="00964BA1">
            <w:pPr>
              <w:spacing w:after="0" w:line="240" w:lineRule="auto"/>
              <w:rPr>
                <w:color w:val="002060"/>
                <w:sz w:val="18"/>
              </w:rPr>
            </w:pPr>
            <w:r w:rsidRPr="00FB35E4">
              <w:rPr>
                <w:color w:val="002060"/>
                <w:sz w:val="18"/>
              </w:rPr>
              <w:t>Plastic</w:t>
            </w:r>
          </w:p>
        </w:tc>
        <w:tc>
          <w:tcPr>
            <w:tcW w:w="1134" w:type="dxa"/>
            <w:shd w:val="clear" w:color="auto" w:fill="F2F2F2" w:themeFill="background1" w:themeFillShade="F2"/>
          </w:tcPr>
          <w:p w14:paraId="782CC6B3" w14:textId="77777777" w:rsidR="004874BF" w:rsidRPr="00FB35E4" w:rsidRDefault="004874BF" w:rsidP="00964BA1">
            <w:pPr>
              <w:spacing w:after="0" w:line="240" w:lineRule="auto"/>
              <w:jc w:val="center"/>
              <w:rPr>
                <w:color w:val="002060"/>
                <w:sz w:val="18"/>
              </w:rPr>
            </w:pPr>
            <w:r w:rsidRPr="00FB35E4">
              <w:rPr>
                <w:color w:val="002060"/>
                <w:sz w:val="18"/>
              </w:rPr>
              <w:t>185</w:t>
            </w:r>
          </w:p>
        </w:tc>
        <w:tc>
          <w:tcPr>
            <w:tcW w:w="1026" w:type="dxa"/>
            <w:shd w:val="clear" w:color="auto" w:fill="F2F2F2" w:themeFill="background1" w:themeFillShade="F2"/>
          </w:tcPr>
          <w:p w14:paraId="68CFAC19" w14:textId="77777777" w:rsidR="004874BF" w:rsidRPr="00FB35E4" w:rsidRDefault="004874BF" w:rsidP="00964BA1">
            <w:pPr>
              <w:spacing w:after="0" w:line="240" w:lineRule="auto"/>
              <w:jc w:val="center"/>
              <w:rPr>
                <w:color w:val="002060"/>
                <w:sz w:val="18"/>
              </w:rPr>
            </w:pPr>
            <w:r w:rsidRPr="00FB35E4">
              <w:rPr>
                <w:color w:val="002060"/>
                <w:sz w:val="18"/>
              </w:rPr>
              <w:t>1 705</w:t>
            </w:r>
          </w:p>
        </w:tc>
        <w:tc>
          <w:tcPr>
            <w:tcW w:w="1094" w:type="dxa"/>
            <w:shd w:val="clear" w:color="auto" w:fill="F2F2F2" w:themeFill="background1" w:themeFillShade="F2"/>
          </w:tcPr>
          <w:p w14:paraId="020A2AA8" w14:textId="77777777" w:rsidR="004874BF" w:rsidRPr="00FB35E4" w:rsidRDefault="004874BF" w:rsidP="00964BA1">
            <w:pPr>
              <w:spacing w:after="0" w:line="240" w:lineRule="auto"/>
              <w:jc w:val="center"/>
              <w:rPr>
                <w:color w:val="002060"/>
                <w:sz w:val="18"/>
              </w:rPr>
            </w:pPr>
            <w:r w:rsidRPr="00FB35E4">
              <w:rPr>
                <w:color w:val="002060"/>
                <w:sz w:val="18"/>
              </w:rPr>
              <w:t>224</w:t>
            </w:r>
          </w:p>
        </w:tc>
        <w:tc>
          <w:tcPr>
            <w:tcW w:w="1026" w:type="dxa"/>
            <w:shd w:val="clear" w:color="auto" w:fill="D9D9D9" w:themeFill="background1" w:themeFillShade="D9"/>
          </w:tcPr>
          <w:p w14:paraId="5B130DE6" w14:textId="77777777" w:rsidR="004874BF" w:rsidRPr="00553A3B" w:rsidRDefault="004874BF" w:rsidP="00964BA1">
            <w:pPr>
              <w:spacing w:after="0" w:line="240" w:lineRule="auto"/>
              <w:jc w:val="center"/>
              <w:rPr>
                <w:b/>
                <w:color w:val="002060"/>
                <w:sz w:val="18"/>
              </w:rPr>
            </w:pPr>
            <w:r w:rsidRPr="00553A3B">
              <w:rPr>
                <w:b/>
                <w:color w:val="002060"/>
                <w:sz w:val="18"/>
              </w:rPr>
              <w:t>2 114</w:t>
            </w:r>
          </w:p>
        </w:tc>
        <w:tc>
          <w:tcPr>
            <w:tcW w:w="712" w:type="dxa"/>
            <w:shd w:val="clear" w:color="auto" w:fill="F2F2F2" w:themeFill="background1" w:themeFillShade="F2"/>
            <w:noWrap/>
            <w:hideMark/>
          </w:tcPr>
          <w:p w14:paraId="05092A78"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712" w:type="dxa"/>
            <w:shd w:val="clear" w:color="auto" w:fill="F2F2F2" w:themeFill="background1" w:themeFillShade="F2"/>
            <w:noWrap/>
            <w:hideMark/>
          </w:tcPr>
          <w:p w14:paraId="4BAEF604" w14:textId="77777777" w:rsidR="004874BF" w:rsidRPr="00FB35E4" w:rsidRDefault="004874BF" w:rsidP="00964BA1">
            <w:pPr>
              <w:spacing w:after="0" w:line="240" w:lineRule="auto"/>
              <w:jc w:val="center"/>
              <w:rPr>
                <w:color w:val="002060"/>
                <w:sz w:val="18"/>
              </w:rPr>
            </w:pPr>
            <w:r w:rsidRPr="00FB35E4">
              <w:rPr>
                <w:color w:val="002060"/>
                <w:sz w:val="18"/>
              </w:rPr>
              <w:t>1 529</w:t>
            </w:r>
          </w:p>
        </w:tc>
        <w:tc>
          <w:tcPr>
            <w:tcW w:w="1151" w:type="dxa"/>
            <w:shd w:val="clear" w:color="auto" w:fill="F2F2F2" w:themeFill="background1" w:themeFillShade="F2"/>
            <w:noWrap/>
            <w:hideMark/>
          </w:tcPr>
          <w:p w14:paraId="1220C8AE" w14:textId="77777777" w:rsidR="004874BF" w:rsidRPr="00FB35E4" w:rsidRDefault="004874BF" w:rsidP="00964BA1">
            <w:pPr>
              <w:spacing w:after="0" w:line="240" w:lineRule="auto"/>
              <w:jc w:val="center"/>
              <w:rPr>
                <w:color w:val="002060"/>
                <w:sz w:val="18"/>
              </w:rPr>
            </w:pPr>
            <w:r w:rsidRPr="00FB35E4">
              <w:rPr>
                <w:color w:val="002060"/>
                <w:sz w:val="18"/>
              </w:rPr>
              <w:t>1 741</w:t>
            </w:r>
          </w:p>
        </w:tc>
      </w:tr>
      <w:tr w:rsidR="004874BF" w:rsidRPr="00FB35E4" w14:paraId="3EDB2F43" w14:textId="77777777" w:rsidTr="00060C3E">
        <w:trPr>
          <w:trHeight w:val="300"/>
        </w:trPr>
        <w:tc>
          <w:tcPr>
            <w:tcW w:w="2127" w:type="dxa"/>
            <w:shd w:val="clear" w:color="auto" w:fill="F2F2F2" w:themeFill="background1" w:themeFillShade="F2"/>
            <w:noWrap/>
            <w:hideMark/>
          </w:tcPr>
          <w:p w14:paraId="6070AE55" w14:textId="77777777" w:rsidR="004874BF" w:rsidRPr="00FB35E4" w:rsidRDefault="004874BF" w:rsidP="00964BA1">
            <w:pPr>
              <w:spacing w:after="0" w:line="240" w:lineRule="auto"/>
              <w:rPr>
                <w:color w:val="002060"/>
                <w:sz w:val="18"/>
              </w:rPr>
            </w:pPr>
            <w:r w:rsidRPr="00FB35E4">
              <w:rPr>
                <w:color w:val="002060"/>
                <w:sz w:val="18"/>
              </w:rPr>
              <w:t>Glass</w:t>
            </w:r>
          </w:p>
        </w:tc>
        <w:tc>
          <w:tcPr>
            <w:tcW w:w="1134" w:type="dxa"/>
            <w:shd w:val="clear" w:color="auto" w:fill="F2F2F2" w:themeFill="background1" w:themeFillShade="F2"/>
          </w:tcPr>
          <w:p w14:paraId="5DDCE2BF" w14:textId="77777777" w:rsidR="004874BF" w:rsidRPr="00FB35E4" w:rsidRDefault="004874BF" w:rsidP="00964BA1">
            <w:pPr>
              <w:spacing w:after="0" w:line="240" w:lineRule="auto"/>
              <w:jc w:val="center"/>
              <w:rPr>
                <w:color w:val="002060"/>
                <w:sz w:val="18"/>
              </w:rPr>
            </w:pPr>
            <w:r w:rsidRPr="00FB35E4">
              <w:rPr>
                <w:color w:val="002060"/>
                <w:sz w:val="18"/>
              </w:rPr>
              <w:t>291</w:t>
            </w:r>
          </w:p>
        </w:tc>
        <w:tc>
          <w:tcPr>
            <w:tcW w:w="1026" w:type="dxa"/>
            <w:shd w:val="clear" w:color="auto" w:fill="F2F2F2" w:themeFill="background1" w:themeFillShade="F2"/>
          </w:tcPr>
          <w:p w14:paraId="7DF39A7E" w14:textId="77777777" w:rsidR="004874BF" w:rsidRPr="00FB35E4" w:rsidRDefault="004874BF" w:rsidP="00964BA1">
            <w:pPr>
              <w:spacing w:after="0" w:line="240" w:lineRule="auto"/>
              <w:jc w:val="center"/>
              <w:rPr>
                <w:color w:val="002060"/>
                <w:sz w:val="18"/>
              </w:rPr>
            </w:pPr>
            <w:r w:rsidRPr="00FB35E4">
              <w:rPr>
                <w:color w:val="002060"/>
                <w:sz w:val="18"/>
              </w:rPr>
              <w:t>6 395</w:t>
            </w:r>
          </w:p>
        </w:tc>
        <w:tc>
          <w:tcPr>
            <w:tcW w:w="1094" w:type="dxa"/>
            <w:shd w:val="clear" w:color="auto" w:fill="F2F2F2" w:themeFill="background1" w:themeFillShade="F2"/>
          </w:tcPr>
          <w:p w14:paraId="057ABD34"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D9D9D9" w:themeFill="background1" w:themeFillShade="D9"/>
          </w:tcPr>
          <w:p w14:paraId="50B916E2" w14:textId="77777777" w:rsidR="004874BF" w:rsidRPr="00553A3B" w:rsidRDefault="004874BF" w:rsidP="00964BA1">
            <w:pPr>
              <w:spacing w:after="0" w:line="240" w:lineRule="auto"/>
              <w:jc w:val="center"/>
              <w:rPr>
                <w:b/>
                <w:color w:val="002060"/>
                <w:sz w:val="18"/>
              </w:rPr>
            </w:pPr>
            <w:r w:rsidRPr="00553A3B">
              <w:rPr>
                <w:b/>
                <w:color w:val="002060"/>
                <w:sz w:val="18"/>
              </w:rPr>
              <w:t>6 686</w:t>
            </w:r>
          </w:p>
        </w:tc>
        <w:tc>
          <w:tcPr>
            <w:tcW w:w="712" w:type="dxa"/>
            <w:shd w:val="clear" w:color="auto" w:fill="F2F2F2" w:themeFill="background1" w:themeFillShade="F2"/>
            <w:noWrap/>
            <w:hideMark/>
          </w:tcPr>
          <w:p w14:paraId="67AFAF45"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712" w:type="dxa"/>
            <w:shd w:val="clear" w:color="auto" w:fill="F2F2F2" w:themeFill="background1" w:themeFillShade="F2"/>
            <w:noWrap/>
            <w:hideMark/>
          </w:tcPr>
          <w:p w14:paraId="59E3DBBB" w14:textId="77777777" w:rsidR="004874BF" w:rsidRPr="00FB35E4" w:rsidRDefault="004874BF" w:rsidP="00964BA1">
            <w:pPr>
              <w:spacing w:after="0" w:line="240" w:lineRule="auto"/>
              <w:jc w:val="center"/>
              <w:rPr>
                <w:color w:val="002060"/>
                <w:sz w:val="18"/>
              </w:rPr>
            </w:pPr>
            <w:r w:rsidRPr="00FB35E4">
              <w:rPr>
                <w:color w:val="002060"/>
                <w:sz w:val="18"/>
              </w:rPr>
              <w:t>1 529</w:t>
            </w:r>
          </w:p>
        </w:tc>
        <w:tc>
          <w:tcPr>
            <w:tcW w:w="1151" w:type="dxa"/>
            <w:shd w:val="clear" w:color="auto" w:fill="F2F2F2" w:themeFill="background1" w:themeFillShade="F2"/>
            <w:noWrap/>
            <w:hideMark/>
          </w:tcPr>
          <w:p w14:paraId="157183D5" w14:textId="77777777" w:rsidR="004874BF" w:rsidRPr="00FB35E4" w:rsidRDefault="004874BF" w:rsidP="00964BA1">
            <w:pPr>
              <w:spacing w:after="0" w:line="240" w:lineRule="auto"/>
              <w:jc w:val="center"/>
              <w:rPr>
                <w:color w:val="002060"/>
                <w:sz w:val="18"/>
              </w:rPr>
            </w:pPr>
            <w:r w:rsidRPr="00FB35E4">
              <w:rPr>
                <w:color w:val="002060"/>
                <w:sz w:val="18"/>
              </w:rPr>
              <w:t>1 741</w:t>
            </w:r>
          </w:p>
        </w:tc>
      </w:tr>
      <w:tr w:rsidR="004874BF" w:rsidRPr="00FB35E4" w14:paraId="26511EEE" w14:textId="77777777" w:rsidTr="00060C3E">
        <w:trPr>
          <w:trHeight w:val="300"/>
        </w:trPr>
        <w:tc>
          <w:tcPr>
            <w:tcW w:w="2127" w:type="dxa"/>
            <w:shd w:val="clear" w:color="auto" w:fill="F2F2F2" w:themeFill="background1" w:themeFillShade="F2"/>
            <w:noWrap/>
            <w:hideMark/>
          </w:tcPr>
          <w:p w14:paraId="79B0EF9C" w14:textId="77777777" w:rsidR="004874BF" w:rsidRPr="00FB35E4" w:rsidRDefault="004874BF" w:rsidP="00964BA1">
            <w:pPr>
              <w:spacing w:after="0" w:line="240" w:lineRule="auto"/>
              <w:rPr>
                <w:color w:val="002060"/>
                <w:sz w:val="18"/>
              </w:rPr>
            </w:pPr>
            <w:r w:rsidRPr="00FB35E4">
              <w:rPr>
                <w:color w:val="002060"/>
                <w:sz w:val="18"/>
              </w:rPr>
              <w:t>Cement</w:t>
            </w:r>
          </w:p>
        </w:tc>
        <w:tc>
          <w:tcPr>
            <w:tcW w:w="1134" w:type="dxa"/>
            <w:shd w:val="clear" w:color="auto" w:fill="F2F2F2" w:themeFill="background1" w:themeFillShade="F2"/>
          </w:tcPr>
          <w:p w14:paraId="13E51E73" w14:textId="77777777" w:rsidR="004874BF" w:rsidRPr="00FB35E4" w:rsidRDefault="004874BF" w:rsidP="00964BA1">
            <w:pPr>
              <w:spacing w:after="0" w:line="240" w:lineRule="auto"/>
              <w:jc w:val="center"/>
              <w:rPr>
                <w:color w:val="002060"/>
                <w:sz w:val="18"/>
              </w:rPr>
            </w:pPr>
            <w:r w:rsidRPr="00FB35E4">
              <w:rPr>
                <w:color w:val="002060"/>
                <w:sz w:val="18"/>
              </w:rPr>
              <w:t>8 163</w:t>
            </w:r>
          </w:p>
        </w:tc>
        <w:tc>
          <w:tcPr>
            <w:tcW w:w="1026" w:type="dxa"/>
            <w:shd w:val="clear" w:color="auto" w:fill="F2F2F2" w:themeFill="background1" w:themeFillShade="F2"/>
          </w:tcPr>
          <w:p w14:paraId="57CDCF1C" w14:textId="77777777" w:rsidR="004874BF" w:rsidRPr="00FB35E4" w:rsidRDefault="004874BF" w:rsidP="00964BA1">
            <w:pPr>
              <w:spacing w:after="0" w:line="240" w:lineRule="auto"/>
              <w:jc w:val="center"/>
              <w:rPr>
                <w:color w:val="002060"/>
                <w:sz w:val="18"/>
              </w:rPr>
            </w:pPr>
            <w:r w:rsidRPr="00FB35E4">
              <w:rPr>
                <w:color w:val="002060"/>
                <w:sz w:val="18"/>
              </w:rPr>
              <w:t>16 364</w:t>
            </w:r>
          </w:p>
        </w:tc>
        <w:tc>
          <w:tcPr>
            <w:tcW w:w="1094" w:type="dxa"/>
            <w:shd w:val="clear" w:color="auto" w:fill="F2F2F2" w:themeFill="background1" w:themeFillShade="F2"/>
          </w:tcPr>
          <w:p w14:paraId="0D8F3AE5" w14:textId="77777777" w:rsidR="004874BF" w:rsidRPr="00FB35E4" w:rsidRDefault="004874BF" w:rsidP="00964BA1">
            <w:pPr>
              <w:spacing w:after="0" w:line="240" w:lineRule="auto"/>
              <w:jc w:val="center"/>
              <w:rPr>
                <w:color w:val="002060"/>
                <w:sz w:val="18"/>
              </w:rPr>
            </w:pPr>
            <w:r w:rsidRPr="00FB35E4">
              <w:rPr>
                <w:color w:val="002060"/>
                <w:sz w:val="18"/>
              </w:rPr>
              <w:t>78</w:t>
            </w:r>
          </w:p>
        </w:tc>
        <w:tc>
          <w:tcPr>
            <w:tcW w:w="1026" w:type="dxa"/>
            <w:shd w:val="clear" w:color="auto" w:fill="D9D9D9" w:themeFill="background1" w:themeFillShade="D9"/>
          </w:tcPr>
          <w:p w14:paraId="4AD30EE0" w14:textId="77777777" w:rsidR="004874BF" w:rsidRPr="00553A3B" w:rsidRDefault="004874BF" w:rsidP="00964BA1">
            <w:pPr>
              <w:spacing w:after="0" w:line="240" w:lineRule="auto"/>
              <w:jc w:val="center"/>
              <w:rPr>
                <w:b/>
                <w:color w:val="002060"/>
                <w:sz w:val="18"/>
              </w:rPr>
            </w:pPr>
            <w:r w:rsidRPr="00553A3B">
              <w:rPr>
                <w:b/>
                <w:color w:val="002060"/>
                <w:sz w:val="18"/>
              </w:rPr>
              <w:t>24 604</w:t>
            </w:r>
          </w:p>
        </w:tc>
        <w:tc>
          <w:tcPr>
            <w:tcW w:w="712" w:type="dxa"/>
            <w:shd w:val="clear" w:color="auto" w:fill="F2F2F2" w:themeFill="background1" w:themeFillShade="F2"/>
            <w:noWrap/>
            <w:hideMark/>
          </w:tcPr>
          <w:p w14:paraId="1DEE7D3F"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712" w:type="dxa"/>
            <w:shd w:val="clear" w:color="auto" w:fill="F2F2F2" w:themeFill="background1" w:themeFillShade="F2"/>
            <w:noWrap/>
            <w:hideMark/>
          </w:tcPr>
          <w:p w14:paraId="61479381" w14:textId="77777777" w:rsidR="004874BF" w:rsidRPr="00FB35E4" w:rsidRDefault="004874BF" w:rsidP="00964BA1">
            <w:pPr>
              <w:spacing w:after="0" w:line="240" w:lineRule="auto"/>
              <w:jc w:val="center"/>
              <w:rPr>
                <w:color w:val="002060"/>
                <w:sz w:val="18"/>
              </w:rPr>
            </w:pPr>
            <w:r w:rsidRPr="00FB35E4">
              <w:rPr>
                <w:color w:val="002060"/>
                <w:sz w:val="18"/>
              </w:rPr>
              <w:t>1 529</w:t>
            </w:r>
          </w:p>
        </w:tc>
        <w:tc>
          <w:tcPr>
            <w:tcW w:w="1151" w:type="dxa"/>
            <w:shd w:val="clear" w:color="auto" w:fill="F2F2F2" w:themeFill="background1" w:themeFillShade="F2"/>
            <w:noWrap/>
            <w:hideMark/>
          </w:tcPr>
          <w:p w14:paraId="11F2AFDB" w14:textId="77777777" w:rsidR="004874BF" w:rsidRPr="00FB35E4" w:rsidRDefault="004874BF" w:rsidP="00964BA1">
            <w:pPr>
              <w:spacing w:after="0" w:line="240" w:lineRule="auto"/>
              <w:jc w:val="center"/>
              <w:rPr>
                <w:color w:val="002060"/>
                <w:sz w:val="18"/>
              </w:rPr>
            </w:pPr>
            <w:r w:rsidRPr="00FB35E4">
              <w:rPr>
                <w:color w:val="002060"/>
                <w:sz w:val="18"/>
              </w:rPr>
              <w:t>1 741</w:t>
            </w:r>
          </w:p>
        </w:tc>
      </w:tr>
      <w:tr w:rsidR="004874BF" w:rsidRPr="00FB35E4" w14:paraId="7D1CE4E1" w14:textId="77777777" w:rsidTr="00060C3E">
        <w:trPr>
          <w:trHeight w:val="300"/>
        </w:trPr>
        <w:tc>
          <w:tcPr>
            <w:tcW w:w="2127" w:type="dxa"/>
            <w:shd w:val="clear" w:color="auto" w:fill="F2F2F2" w:themeFill="background1" w:themeFillShade="F2"/>
            <w:noWrap/>
            <w:hideMark/>
          </w:tcPr>
          <w:p w14:paraId="111C570C" w14:textId="77777777" w:rsidR="004874BF" w:rsidRPr="00FB35E4" w:rsidRDefault="004874BF" w:rsidP="00964BA1">
            <w:pPr>
              <w:spacing w:after="0" w:line="240" w:lineRule="auto"/>
              <w:rPr>
                <w:color w:val="002060"/>
                <w:sz w:val="18"/>
              </w:rPr>
            </w:pPr>
            <w:r w:rsidRPr="00FB35E4">
              <w:rPr>
                <w:color w:val="002060"/>
                <w:sz w:val="18"/>
              </w:rPr>
              <w:t>Other non-metal</w:t>
            </w:r>
          </w:p>
        </w:tc>
        <w:tc>
          <w:tcPr>
            <w:tcW w:w="1134" w:type="dxa"/>
            <w:shd w:val="clear" w:color="auto" w:fill="F2F2F2" w:themeFill="background1" w:themeFillShade="F2"/>
          </w:tcPr>
          <w:p w14:paraId="07441EE3" w14:textId="77777777" w:rsidR="004874BF" w:rsidRPr="00FB35E4" w:rsidRDefault="004874BF" w:rsidP="00964BA1">
            <w:pPr>
              <w:spacing w:after="0" w:line="240" w:lineRule="auto"/>
              <w:jc w:val="center"/>
              <w:rPr>
                <w:color w:val="002060"/>
                <w:sz w:val="18"/>
              </w:rPr>
            </w:pPr>
            <w:r w:rsidRPr="00FB35E4">
              <w:rPr>
                <w:color w:val="002060"/>
                <w:sz w:val="18"/>
              </w:rPr>
              <w:t>8 843</w:t>
            </w:r>
          </w:p>
        </w:tc>
        <w:tc>
          <w:tcPr>
            <w:tcW w:w="1026" w:type="dxa"/>
            <w:shd w:val="clear" w:color="auto" w:fill="F2F2F2" w:themeFill="background1" w:themeFillShade="F2"/>
          </w:tcPr>
          <w:p w14:paraId="5B618E6E" w14:textId="77777777" w:rsidR="004874BF" w:rsidRPr="00FB35E4" w:rsidRDefault="004874BF" w:rsidP="00964BA1">
            <w:pPr>
              <w:spacing w:after="0" w:line="240" w:lineRule="auto"/>
              <w:jc w:val="center"/>
              <w:rPr>
                <w:color w:val="002060"/>
                <w:sz w:val="18"/>
              </w:rPr>
            </w:pPr>
            <w:r w:rsidRPr="00FB35E4">
              <w:rPr>
                <w:color w:val="002060"/>
                <w:sz w:val="18"/>
              </w:rPr>
              <w:t>18 452</w:t>
            </w:r>
          </w:p>
        </w:tc>
        <w:tc>
          <w:tcPr>
            <w:tcW w:w="1094" w:type="dxa"/>
            <w:shd w:val="clear" w:color="auto" w:fill="F2F2F2" w:themeFill="background1" w:themeFillShade="F2"/>
          </w:tcPr>
          <w:p w14:paraId="48A1F2FE" w14:textId="77777777" w:rsidR="004874BF" w:rsidRPr="00FB35E4" w:rsidRDefault="004874BF" w:rsidP="00964BA1">
            <w:pPr>
              <w:spacing w:after="0" w:line="240" w:lineRule="auto"/>
              <w:jc w:val="center"/>
              <w:rPr>
                <w:color w:val="002060"/>
                <w:sz w:val="18"/>
              </w:rPr>
            </w:pPr>
            <w:r w:rsidRPr="00FB35E4">
              <w:rPr>
                <w:color w:val="002060"/>
                <w:sz w:val="18"/>
              </w:rPr>
              <w:t>87</w:t>
            </w:r>
          </w:p>
        </w:tc>
        <w:tc>
          <w:tcPr>
            <w:tcW w:w="1026" w:type="dxa"/>
            <w:shd w:val="clear" w:color="auto" w:fill="D9D9D9" w:themeFill="background1" w:themeFillShade="D9"/>
          </w:tcPr>
          <w:p w14:paraId="07F3DCBC" w14:textId="77777777" w:rsidR="004874BF" w:rsidRPr="00553A3B" w:rsidRDefault="004874BF" w:rsidP="00964BA1">
            <w:pPr>
              <w:spacing w:after="0" w:line="240" w:lineRule="auto"/>
              <w:jc w:val="center"/>
              <w:rPr>
                <w:b/>
                <w:color w:val="002060"/>
                <w:sz w:val="18"/>
              </w:rPr>
            </w:pPr>
            <w:r w:rsidRPr="00553A3B">
              <w:rPr>
                <w:b/>
                <w:color w:val="002060"/>
                <w:sz w:val="18"/>
              </w:rPr>
              <w:t>27 383</w:t>
            </w:r>
          </w:p>
        </w:tc>
        <w:tc>
          <w:tcPr>
            <w:tcW w:w="712" w:type="dxa"/>
            <w:shd w:val="clear" w:color="auto" w:fill="F2F2F2" w:themeFill="background1" w:themeFillShade="F2"/>
            <w:noWrap/>
            <w:hideMark/>
          </w:tcPr>
          <w:p w14:paraId="3167BF56"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712" w:type="dxa"/>
            <w:shd w:val="clear" w:color="auto" w:fill="F2F2F2" w:themeFill="background1" w:themeFillShade="F2"/>
            <w:noWrap/>
            <w:hideMark/>
          </w:tcPr>
          <w:p w14:paraId="74241211" w14:textId="77777777" w:rsidR="004874BF" w:rsidRPr="00FB35E4" w:rsidRDefault="004874BF" w:rsidP="00964BA1">
            <w:pPr>
              <w:spacing w:after="0" w:line="240" w:lineRule="auto"/>
              <w:jc w:val="center"/>
              <w:rPr>
                <w:color w:val="002060"/>
                <w:sz w:val="18"/>
              </w:rPr>
            </w:pPr>
            <w:r w:rsidRPr="00FB35E4">
              <w:rPr>
                <w:color w:val="002060"/>
                <w:sz w:val="18"/>
              </w:rPr>
              <w:t>1 529</w:t>
            </w:r>
          </w:p>
        </w:tc>
        <w:tc>
          <w:tcPr>
            <w:tcW w:w="1151" w:type="dxa"/>
            <w:shd w:val="clear" w:color="auto" w:fill="F2F2F2" w:themeFill="background1" w:themeFillShade="F2"/>
            <w:noWrap/>
            <w:hideMark/>
          </w:tcPr>
          <w:p w14:paraId="26D60F7D" w14:textId="77777777" w:rsidR="004874BF" w:rsidRPr="00FB35E4" w:rsidRDefault="004874BF" w:rsidP="00964BA1">
            <w:pPr>
              <w:spacing w:after="0" w:line="240" w:lineRule="auto"/>
              <w:jc w:val="center"/>
              <w:rPr>
                <w:color w:val="002060"/>
                <w:sz w:val="18"/>
              </w:rPr>
            </w:pPr>
            <w:r w:rsidRPr="00FB35E4">
              <w:rPr>
                <w:color w:val="002060"/>
                <w:sz w:val="18"/>
              </w:rPr>
              <w:t>1 741</w:t>
            </w:r>
          </w:p>
        </w:tc>
      </w:tr>
      <w:tr w:rsidR="004874BF" w:rsidRPr="00FB35E4" w14:paraId="45CFB561" w14:textId="77777777" w:rsidTr="00060C3E">
        <w:trPr>
          <w:trHeight w:val="300"/>
        </w:trPr>
        <w:tc>
          <w:tcPr>
            <w:tcW w:w="2127" w:type="dxa"/>
            <w:shd w:val="clear" w:color="auto" w:fill="F2F2F2" w:themeFill="background1" w:themeFillShade="F2"/>
            <w:noWrap/>
            <w:hideMark/>
          </w:tcPr>
          <w:p w14:paraId="58858DF6" w14:textId="77777777" w:rsidR="004874BF" w:rsidRPr="00FB35E4" w:rsidRDefault="004874BF" w:rsidP="00964BA1">
            <w:pPr>
              <w:spacing w:after="0" w:line="240" w:lineRule="auto"/>
              <w:rPr>
                <w:color w:val="002060"/>
                <w:sz w:val="18"/>
              </w:rPr>
            </w:pPr>
            <w:r w:rsidRPr="00FB35E4">
              <w:rPr>
                <w:color w:val="002060"/>
                <w:sz w:val="18"/>
              </w:rPr>
              <w:t>Iron and Steel</w:t>
            </w:r>
          </w:p>
        </w:tc>
        <w:tc>
          <w:tcPr>
            <w:tcW w:w="1134" w:type="dxa"/>
            <w:shd w:val="clear" w:color="auto" w:fill="F2F2F2" w:themeFill="background1" w:themeFillShade="F2"/>
          </w:tcPr>
          <w:p w14:paraId="16A40AE2" w14:textId="77777777" w:rsidR="004874BF" w:rsidRPr="00FB35E4" w:rsidRDefault="004874BF" w:rsidP="00964BA1">
            <w:pPr>
              <w:spacing w:after="0" w:line="240" w:lineRule="auto"/>
              <w:jc w:val="center"/>
              <w:rPr>
                <w:color w:val="002060"/>
                <w:sz w:val="18"/>
              </w:rPr>
            </w:pPr>
            <w:r w:rsidRPr="00FB35E4">
              <w:rPr>
                <w:color w:val="002060"/>
                <w:sz w:val="18"/>
              </w:rPr>
              <w:t>131 276</w:t>
            </w:r>
          </w:p>
        </w:tc>
        <w:tc>
          <w:tcPr>
            <w:tcW w:w="1026" w:type="dxa"/>
            <w:shd w:val="clear" w:color="auto" w:fill="F2F2F2" w:themeFill="background1" w:themeFillShade="F2"/>
          </w:tcPr>
          <w:p w14:paraId="2E4244E3" w14:textId="77777777" w:rsidR="004874BF" w:rsidRPr="00FB35E4" w:rsidRDefault="004874BF" w:rsidP="00964BA1">
            <w:pPr>
              <w:spacing w:after="0" w:line="240" w:lineRule="auto"/>
              <w:jc w:val="center"/>
              <w:rPr>
                <w:color w:val="002060"/>
                <w:sz w:val="18"/>
              </w:rPr>
            </w:pPr>
            <w:r w:rsidRPr="00FB35E4">
              <w:rPr>
                <w:color w:val="002060"/>
                <w:sz w:val="18"/>
              </w:rPr>
              <w:t>57 824</w:t>
            </w:r>
          </w:p>
        </w:tc>
        <w:tc>
          <w:tcPr>
            <w:tcW w:w="1094" w:type="dxa"/>
            <w:shd w:val="clear" w:color="auto" w:fill="F2F2F2" w:themeFill="background1" w:themeFillShade="F2"/>
          </w:tcPr>
          <w:p w14:paraId="3F598890" w14:textId="77777777" w:rsidR="004874BF" w:rsidRPr="00FB35E4" w:rsidRDefault="004874BF" w:rsidP="00964BA1">
            <w:pPr>
              <w:spacing w:after="0" w:line="240" w:lineRule="auto"/>
              <w:jc w:val="center"/>
              <w:rPr>
                <w:color w:val="002060"/>
                <w:sz w:val="18"/>
              </w:rPr>
            </w:pPr>
            <w:r w:rsidRPr="00FB35E4">
              <w:rPr>
                <w:color w:val="002060"/>
                <w:sz w:val="18"/>
              </w:rPr>
              <w:t>108 953</w:t>
            </w:r>
          </w:p>
        </w:tc>
        <w:tc>
          <w:tcPr>
            <w:tcW w:w="1026" w:type="dxa"/>
            <w:shd w:val="clear" w:color="auto" w:fill="D9D9D9" w:themeFill="background1" w:themeFillShade="D9"/>
          </w:tcPr>
          <w:p w14:paraId="68D8DCD1" w14:textId="77777777" w:rsidR="004874BF" w:rsidRPr="00553A3B" w:rsidRDefault="004874BF" w:rsidP="00964BA1">
            <w:pPr>
              <w:spacing w:after="0" w:line="240" w:lineRule="auto"/>
              <w:jc w:val="center"/>
              <w:rPr>
                <w:b/>
                <w:color w:val="002060"/>
                <w:sz w:val="18"/>
              </w:rPr>
            </w:pPr>
            <w:r w:rsidRPr="00553A3B">
              <w:rPr>
                <w:b/>
                <w:color w:val="002060"/>
                <w:sz w:val="18"/>
              </w:rPr>
              <w:t>298 053</w:t>
            </w:r>
          </w:p>
        </w:tc>
        <w:tc>
          <w:tcPr>
            <w:tcW w:w="712" w:type="dxa"/>
            <w:shd w:val="clear" w:color="auto" w:fill="F2F2F2" w:themeFill="background1" w:themeFillShade="F2"/>
            <w:noWrap/>
            <w:hideMark/>
          </w:tcPr>
          <w:p w14:paraId="629C3C54"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712" w:type="dxa"/>
            <w:shd w:val="clear" w:color="auto" w:fill="F2F2F2" w:themeFill="background1" w:themeFillShade="F2"/>
            <w:noWrap/>
            <w:hideMark/>
          </w:tcPr>
          <w:p w14:paraId="1EC34CC4" w14:textId="77777777" w:rsidR="004874BF" w:rsidRPr="00FB35E4" w:rsidRDefault="004874BF" w:rsidP="00964BA1">
            <w:pPr>
              <w:spacing w:after="0" w:line="240" w:lineRule="auto"/>
              <w:jc w:val="center"/>
              <w:rPr>
                <w:color w:val="002060"/>
                <w:sz w:val="18"/>
              </w:rPr>
            </w:pPr>
            <w:r w:rsidRPr="00FB35E4">
              <w:rPr>
                <w:color w:val="002060"/>
                <w:sz w:val="18"/>
              </w:rPr>
              <w:t>1 529</w:t>
            </w:r>
          </w:p>
        </w:tc>
        <w:tc>
          <w:tcPr>
            <w:tcW w:w="1151" w:type="dxa"/>
            <w:shd w:val="clear" w:color="auto" w:fill="F2F2F2" w:themeFill="background1" w:themeFillShade="F2"/>
            <w:noWrap/>
            <w:hideMark/>
          </w:tcPr>
          <w:p w14:paraId="4564C468" w14:textId="77777777" w:rsidR="004874BF" w:rsidRPr="00FB35E4" w:rsidRDefault="004874BF" w:rsidP="00964BA1">
            <w:pPr>
              <w:spacing w:after="0" w:line="240" w:lineRule="auto"/>
              <w:jc w:val="center"/>
              <w:rPr>
                <w:color w:val="002060"/>
                <w:sz w:val="18"/>
              </w:rPr>
            </w:pPr>
            <w:r w:rsidRPr="00FB35E4">
              <w:rPr>
                <w:color w:val="002060"/>
                <w:sz w:val="18"/>
              </w:rPr>
              <w:t>1 741</w:t>
            </w:r>
          </w:p>
        </w:tc>
      </w:tr>
      <w:tr w:rsidR="004874BF" w:rsidRPr="00FB35E4" w14:paraId="69853E43" w14:textId="77777777" w:rsidTr="00060C3E">
        <w:trPr>
          <w:trHeight w:val="300"/>
        </w:trPr>
        <w:tc>
          <w:tcPr>
            <w:tcW w:w="2127" w:type="dxa"/>
            <w:shd w:val="clear" w:color="auto" w:fill="F2F2F2" w:themeFill="background1" w:themeFillShade="F2"/>
            <w:noWrap/>
            <w:hideMark/>
          </w:tcPr>
          <w:p w14:paraId="4C6E1DC8" w14:textId="77777777" w:rsidR="004874BF" w:rsidRPr="00FB35E4" w:rsidRDefault="004874BF" w:rsidP="00964BA1">
            <w:pPr>
              <w:spacing w:after="0" w:line="240" w:lineRule="auto"/>
              <w:rPr>
                <w:color w:val="002060"/>
                <w:sz w:val="18"/>
              </w:rPr>
            </w:pPr>
            <w:r w:rsidRPr="00FB35E4">
              <w:rPr>
                <w:color w:val="002060"/>
                <w:sz w:val="18"/>
              </w:rPr>
              <w:t>Other metal equipment</w:t>
            </w:r>
          </w:p>
        </w:tc>
        <w:tc>
          <w:tcPr>
            <w:tcW w:w="1134" w:type="dxa"/>
            <w:shd w:val="clear" w:color="auto" w:fill="F2F2F2" w:themeFill="background1" w:themeFillShade="F2"/>
          </w:tcPr>
          <w:p w14:paraId="37796FCD" w14:textId="77777777" w:rsidR="004874BF" w:rsidRPr="00FB35E4" w:rsidRDefault="004874BF" w:rsidP="00964BA1">
            <w:pPr>
              <w:spacing w:after="0" w:line="240" w:lineRule="auto"/>
              <w:jc w:val="center"/>
              <w:rPr>
                <w:color w:val="002060"/>
                <w:sz w:val="18"/>
              </w:rPr>
            </w:pPr>
            <w:r w:rsidRPr="00FB35E4">
              <w:rPr>
                <w:color w:val="002060"/>
                <w:sz w:val="18"/>
              </w:rPr>
              <w:t>9 001</w:t>
            </w:r>
          </w:p>
        </w:tc>
        <w:tc>
          <w:tcPr>
            <w:tcW w:w="1026" w:type="dxa"/>
            <w:shd w:val="clear" w:color="auto" w:fill="F2F2F2" w:themeFill="background1" w:themeFillShade="F2"/>
          </w:tcPr>
          <w:p w14:paraId="48C2E5C3" w14:textId="77777777" w:rsidR="004874BF" w:rsidRPr="00FB35E4" w:rsidRDefault="004874BF" w:rsidP="00964BA1">
            <w:pPr>
              <w:spacing w:after="0" w:line="240" w:lineRule="auto"/>
              <w:jc w:val="center"/>
              <w:rPr>
                <w:color w:val="002060"/>
                <w:sz w:val="18"/>
              </w:rPr>
            </w:pPr>
            <w:r w:rsidRPr="00FB35E4">
              <w:rPr>
                <w:color w:val="002060"/>
                <w:sz w:val="18"/>
              </w:rPr>
              <w:t>50 119</w:t>
            </w:r>
          </w:p>
        </w:tc>
        <w:tc>
          <w:tcPr>
            <w:tcW w:w="1094" w:type="dxa"/>
            <w:shd w:val="clear" w:color="auto" w:fill="F2F2F2" w:themeFill="background1" w:themeFillShade="F2"/>
          </w:tcPr>
          <w:p w14:paraId="77F53EF5" w14:textId="77777777" w:rsidR="004874BF" w:rsidRPr="00FB35E4" w:rsidRDefault="004874BF" w:rsidP="00964BA1">
            <w:pPr>
              <w:spacing w:after="0" w:line="240" w:lineRule="auto"/>
              <w:jc w:val="center"/>
              <w:rPr>
                <w:color w:val="002060"/>
                <w:sz w:val="18"/>
              </w:rPr>
            </w:pPr>
            <w:r w:rsidRPr="00FB35E4">
              <w:rPr>
                <w:color w:val="002060"/>
                <w:sz w:val="18"/>
              </w:rPr>
              <w:t>13 294</w:t>
            </w:r>
          </w:p>
        </w:tc>
        <w:tc>
          <w:tcPr>
            <w:tcW w:w="1026" w:type="dxa"/>
            <w:shd w:val="clear" w:color="auto" w:fill="D9D9D9" w:themeFill="background1" w:themeFillShade="D9"/>
          </w:tcPr>
          <w:p w14:paraId="167D2408" w14:textId="77777777" w:rsidR="004874BF" w:rsidRPr="00553A3B" w:rsidRDefault="004874BF" w:rsidP="00964BA1">
            <w:pPr>
              <w:spacing w:after="0" w:line="240" w:lineRule="auto"/>
              <w:jc w:val="center"/>
              <w:rPr>
                <w:b/>
                <w:color w:val="002060"/>
                <w:sz w:val="18"/>
              </w:rPr>
            </w:pPr>
            <w:r w:rsidRPr="00553A3B">
              <w:rPr>
                <w:b/>
                <w:color w:val="002060"/>
                <w:sz w:val="18"/>
              </w:rPr>
              <w:t>72 414</w:t>
            </w:r>
          </w:p>
        </w:tc>
        <w:tc>
          <w:tcPr>
            <w:tcW w:w="712" w:type="dxa"/>
            <w:shd w:val="clear" w:color="auto" w:fill="F2F2F2" w:themeFill="background1" w:themeFillShade="F2"/>
            <w:noWrap/>
            <w:hideMark/>
          </w:tcPr>
          <w:p w14:paraId="59DC1774"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6B7CA118"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273CFB66"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177B0503" w14:textId="77777777" w:rsidTr="00060C3E">
        <w:trPr>
          <w:trHeight w:val="300"/>
        </w:trPr>
        <w:tc>
          <w:tcPr>
            <w:tcW w:w="2127" w:type="dxa"/>
            <w:shd w:val="clear" w:color="auto" w:fill="F2F2F2" w:themeFill="background1" w:themeFillShade="F2"/>
            <w:noWrap/>
            <w:hideMark/>
          </w:tcPr>
          <w:p w14:paraId="37B271BF" w14:textId="77777777" w:rsidR="004874BF" w:rsidRPr="00FB35E4" w:rsidRDefault="004874BF" w:rsidP="00964BA1">
            <w:pPr>
              <w:spacing w:after="0" w:line="240" w:lineRule="auto"/>
              <w:rPr>
                <w:color w:val="002060"/>
                <w:sz w:val="18"/>
              </w:rPr>
            </w:pPr>
            <w:r w:rsidRPr="00FB35E4">
              <w:rPr>
                <w:color w:val="002060"/>
                <w:sz w:val="18"/>
              </w:rPr>
              <w:t>Electricity machinery</w:t>
            </w:r>
          </w:p>
        </w:tc>
        <w:tc>
          <w:tcPr>
            <w:tcW w:w="1134" w:type="dxa"/>
            <w:shd w:val="clear" w:color="auto" w:fill="F2F2F2" w:themeFill="background1" w:themeFillShade="F2"/>
          </w:tcPr>
          <w:p w14:paraId="53C28B52" w14:textId="77777777" w:rsidR="004874BF" w:rsidRPr="00FB35E4" w:rsidRDefault="004874BF" w:rsidP="00964BA1">
            <w:pPr>
              <w:spacing w:after="0" w:line="240" w:lineRule="auto"/>
              <w:jc w:val="center"/>
              <w:rPr>
                <w:color w:val="002060"/>
                <w:sz w:val="18"/>
              </w:rPr>
            </w:pPr>
            <w:r w:rsidRPr="00FB35E4">
              <w:rPr>
                <w:color w:val="002060"/>
                <w:sz w:val="18"/>
              </w:rPr>
              <w:t>128</w:t>
            </w:r>
          </w:p>
        </w:tc>
        <w:tc>
          <w:tcPr>
            <w:tcW w:w="1026" w:type="dxa"/>
            <w:shd w:val="clear" w:color="auto" w:fill="F2F2F2" w:themeFill="background1" w:themeFillShade="F2"/>
          </w:tcPr>
          <w:p w14:paraId="6967A7F2" w14:textId="77777777" w:rsidR="004874BF" w:rsidRPr="00FB35E4" w:rsidRDefault="004874BF" w:rsidP="00964BA1">
            <w:pPr>
              <w:spacing w:after="0" w:line="240" w:lineRule="auto"/>
              <w:jc w:val="center"/>
              <w:rPr>
                <w:color w:val="002060"/>
                <w:sz w:val="18"/>
              </w:rPr>
            </w:pPr>
            <w:r w:rsidRPr="00FB35E4">
              <w:rPr>
                <w:color w:val="002060"/>
                <w:sz w:val="18"/>
              </w:rPr>
              <w:t>102</w:t>
            </w:r>
          </w:p>
        </w:tc>
        <w:tc>
          <w:tcPr>
            <w:tcW w:w="1094" w:type="dxa"/>
            <w:shd w:val="clear" w:color="auto" w:fill="F2F2F2" w:themeFill="background1" w:themeFillShade="F2"/>
          </w:tcPr>
          <w:p w14:paraId="48A2E2FA" w14:textId="77777777" w:rsidR="004874BF" w:rsidRPr="00FB35E4" w:rsidRDefault="004874BF" w:rsidP="00964BA1">
            <w:pPr>
              <w:spacing w:after="0" w:line="240" w:lineRule="auto"/>
              <w:jc w:val="center"/>
              <w:rPr>
                <w:color w:val="002060"/>
                <w:sz w:val="18"/>
              </w:rPr>
            </w:pPr>
            <w:r w:rsidRPr="00FB35E4">
              <w:rPr>
                <w:color w:val="002060"/>
                <w:sz w:val="18"/>
              </w:rPr>
              <w:t>2 066</w:t>
            </w:r>
          </w:p>
        </w:tc>
        <w:tc>
          <w:tcPr>
            <w:tcW w:w="1026" w:type="dxa"/>
            <w:shd w:val="clear" w:color="auto" w:fill="D9D9D9" w:themeFill="background1" w:themeFillShade="D9"/>
          </w:tcPr>
          <w:p w14:paraId="2BEA7886" w14:textId="77777777" w:rsidR="004874BF" w:rsidRPr="00553A3B" w:rsidRDefault="004874BF" w:rsidP="00964BA1">
            <w:pPr>
              <w:spacing w:after="0" w:line="240" w:lineRule="auto"/>
              <w:jc w:val="center"/>
              <w:rPr>
                <w:b/>
                <w:color w:val="002060"/>
                <w:sz w:val="18"/>
              </w:rPr>
            </w:pPr>
            <w:r w:rsidRPr="00553A3B">
              <w:rPr>
                <w:b/>
                <w:color w:val="002060"/>
                <w:sz w:val="18"/>
              </w:rPr>
              <w:t>2 297</w:t>
            </w:r>
          </w:p>
        </w:tc>
        <w:tc>
          <w:tcPr>
            <w:tcW w:w="712" w:type="dxa"/>
            <w:shd w:val="clear" w:color="auto" w:fill="F2F2F2" w:themeFill="background1" w:themeFillShade="F2"/>
            <w:noWrap/>
            <w:hideMark/>
          </w:tcPr>
          <w:p w14:paraId="5D1E6F24"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739A9656"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0C864E6B"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2D7ACD08" w14:textId="77777777" w:rsidTr="00060C3E">
        <w:trPr>
          <w:trHeight w:val="300"/>
        </w:trPr>
        <w:tc>
          <w:tcPr>
            <w:tcW w:w="2127" w:type="dxa"/>
            <w:shd w:val="clear" w:color="auto" w:fill="F2F2F2" w:themeFill="background1" w:themeFillShade="F2"/>
            <w:noWrap/>
            <w:hideMark/>
          </w:tcPr>
          <w:p w14:paraId="657C0906" w14:textId="77777777" w:rsidR="004874BF" w:rsidRPr="00FB35E4" w:rsidRDefault="004874BF" w:rsidP="00964BA1">
            <w:pPr>
              <w:spacing w:after="0" w:line="240" w:lineRule="auto"/>
              <w:rPr>
                <w:color w:val="002060"/>
                <w:sz w:val="18"/>
              </w:rPr>
            </w:pPr>
            <w:r w:rsidRPr="00FB35E4">
              <w:rPr>
                <w:color w:val="002060"/>
                <w:sz w:val="18"/>
              </w:rPr>
              <w:t>Radio and TV</w:t>
            </w:r>
          </w:p>
        </w:tc>
        <w:tc>
          <w:tcPr>
            <w:tcW w:w="1134" w:type="dxa"/>
            <w:shd w:val="clear" w:color="auto" w:fill="F2F2F2" w:themeFill="background1" w:themeFillShade="F2"/>
          </w:tcPr>
          <w:p w14:paraId="62730937" w14:textId="77777777" w:rsidR="004874BF" w:rsidRPr="00FB35E4" w:rsidRDefault="004874BF" w:rsidP="00964BA1">
            <w:pPr>
              <w:spacing w:after="0" w:line="240" w:lineRule="auto"/>
              <w:jc w:val="center"/>
              <w:rPr>
                <w:color w:val="002060"/>
                <w:sz w:val="18"/>
              </w:rPr>
            </w:pPr>
            <w:r w:rsidRPr="00FB35E4">
              <w:rPr>
                <w:color w:val="002060"/>
                <w:sz w:val="18"/>
              </w:rPr>
              <w:t>19 430</w:t>
            </w:r>
          </w:p>
        </w:tc>
        <w:tc>
          <w:tcPr>
            <w:tcW w:w="1026" w:type="dxa"/>
            <w:shd w:val="clear" w:color="auto" w:fill="F2F2F2" w:themeFill="background1" w:themeFillShade="F2"/>
          </w:tcPr>
          <w:p w14:paraId="72355B3E" w14:textId="77777777" w:rsidR="004874BF" w:rsidRPr="00FB35E4" w:rsidRDefault="004874BF" w:rsidP="00964BA1">
            <w:pPr>
              <w:spacing w:after="0" w:line="240" w:lineRule="auto"/>
              <w:jc w:val="center"/>
              <w:rPr>
                <w:color w:val="002060"/>
                <w:sz w:val="18"/>
              </w:rPr>
            </w:pPr>
            <w:r w:rsidRPr="00FB35E4">
              <w:rPr>
                <w:color w:val="002060"/>
                <w:sz w:val="18"/>
              </w:rPr>
              <w:t>20 726</w:t>
            </w:r>
          </w:p>
        </w:tc>
        <w:tc>
          <w:tcPr>
            <w:tcW w:w="1094" w:type="dxa"/>
            <w:shd w:val="clear" w:color="auto" w:fill="F2F2F2" w:themeFill="background1" w:themeFillShade="F2"/>
          </w:tcPr>
          <w:p w14:paraId="03FA58AE"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D9D9D9" w:themeFill="background1" w:themeFillShade="D9"/>
          </w:tcPr>
          <w:p w14:paraId="3628C821" w14:textId="77777777" w:rsidR="004874BF" w:rsidRPr="00553A3B" w:rsidRDefault="004874BF" w:rsidP="00964BA1">
            <w:pPr>
              <w:spacing w:after="0" w:line="240" w:lineRule="auto"/>
              <w:jc w:val="center"/>
              <w:rPr>
                <w:b/>
                <w:color w:val="002060"/>
                <w:sz w:val="18"/>
              </w:rPr>
            </w:pPr>
            <w:r w:rsidRPr="00553A3B">
              <w:rPr>
                <w:b/>
                <w:color w:val="002060"/>
                <w:sz w:val="18"/>
              </w:rPr>
              <w:t>40 156</w:t>
            </w:r>
          </w:p>
        </w:tc>
        <w:tc>
          <w:tcPr>
            <w:tcW w:w="712" w:type="dxa"/>
            <w:shd w:val="clear" w:color="auto" w:fill="F2F2F2" w:themeFill="background1" w:themeFillShade="F2"/>
            <w:noWrap/>
            <w:hideMark/>
          </w:tcPr>
          <w:p w14:paraId="55926750"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6C925348"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4491EE96"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22CBC330" w14:textId="77777777" w:rsidTr="00060C3E">
        <w:trPr>
          <w:trHeight w:val="300"/>
        </w:trPr>
        <w:tc>
          <w:tcPr>
            <w:tcW w:w="2127" w:type="dxa"/>
            <w:shd w:val="clear" w:color="auto" w:fill="F2F2F2" w:themeFill="background1" w:themeFillShade="F2"/>
            <w:noWrap/>
            <w:hideMark/>
          </w:tcPr>
          <w:p w14:paraId="5B186BE5" w14:textId="77777777" w:rsidR="004874BF" w:rsidRPr="00FB35E4" w:rsidRDefault="004874BF" w:rsidP="00964BA1">
            <w:pPr>
              <w:spacing w:after="0" w:line="240" w:lineRule="auto"/>
              <w:rPr>
                <w:color w:val="002060"/>
                <w:sz w:val="18"/>
              </w:rPr>
            </w:pPr>
            <w:r w:rsidRPr="00FB35E4">
              <w:rPr>
                <w:color w:val="002060"/>
                <w:sz w:val="18"/>
              </w:rPr>
              <w:t>Transport equipment</w:t>
            </w:r>
          </w:p>
        </w:tc>
        <w:tc>
          <w:tcPr>
            <w:tcW w:w="1134" w:type="dxa"/>
            <w:shd w:val="clear" w:color="auto" w:fill="F2F2F2" w:themeFill="background1" w:themeFillShade="F2"/>
          </w:tcPr>
          <w:p w14:paraId="52F00EAD" w14:textId="77777777" w:rsidR="004874BF" w:rsidRPr="00FB35E4" w:rsidRDefault="004874BF" w:rsidP="00964BA1">
            <w:pPr>
              <w:spacing w:after="0" w:line="240" w:lineRule="auto"/>
              <w:jc w:val="center"/>
              <w:rPr>
                <w:color w:val="002060"/>
                <w:sz w:val="18"/>
              </w:rPr>
            </w:pPr>
            <w:r w:rsidRPr="00FB35E4">
              <w:rPr>
                <w:color w:val="002060"/>
                <w:sz w:val="18"/>
              </w:rPr>
              <w:t>7</w:t>
            </w:r>
          </w:p>
        </w:tc>
        <w:tc>
          <w:tcPr>
            <w:tcW w:w="1026" w:type="dxa"/>
            <w:shd w:val="clear" w:color="auto" w:fill="F2F2F2" w:themeFill="background1" w:themeFillShade="F2"/>
          </w:tcPr>
          <w:p w14:paraId="5E6FDE8F" w14:textId="77777777" w:rsidR="004874BF" w:rsidRPr="00FB35E4" w:rsidRDefault="004874BF" w:rsidP="00964BA1">
            <w:pPr>
              <w:spacing w:after="0" w:line="240" w:lineRule="auto"/>
              <w:jc w:val="center"/>
              <w:rPr>
                <w:color w:val="002060"/>
                <w:sz w:val="18"/>
              </w:rPr>
            </w:pPr>
            <w:r w:rsidRPr="00FB35E4">
              <w:rPr>
                <w:color w:val="002060"/>
                <w:sz w:val="18"/>
              </w:rPr>
              <w:t>272</w:t>
            </w:r>
          </w:p>
        </w:tc>
        <w:tc>
          <w:tcPr>
            <w:tcW w:w="1094" w:type="dxa"/>
            <w:shd w:val="clear" w:color="auto" w:fill="F2F2F2" w:themeFill="background1" w:themeFillShade="F2"/>
          </w:tcPr>
          <w:p w14:paraId="04B9FA61" w14:textId="77777777" w:rsidR="004874BF" w:rsidRPr="00FB35E4" w:rsidRDefault="004874BF" w:rsidP="00964BA1">
            <w:pPr>
              <w:spacing w:after="0" w:line="240" w:lineRule="auto"/>
              <w:jc w:val="center"/>
              <w:rPr>
                <w:color w:val="002060"/>
                <w:sz w:val="18"/>
              </w:rPr>
            </w:pPr>
            <w:r w:rsidRPr="00FB35E4">
              <w:rPr>
                <w:color w:val="002060"/>
                <w:sz w:val="18"/>
              </w:rPr>
              <w:t>5</w:t>
            </w:r>
          </w:p>
        </w:tc>
        <w:tc>
          <w:tcPr>
            <w:tcW w:w="1026" w:type="dxa"/>
            <w:shd w:val="clear" w:color="auto" w:fill="D9D9D9" w:themeFill="background1" w:themeFillShade="D9"/>
          </w:tcPr>
          <w:p w14:paraId="6DC71A53" w14:textId="77777777" w:rsidR="004874BF" w:rsidRPr="00553A3B" w:rsidRDefault="004874BF" w:rsidP="00964BA1">
            <w:pPr>
              <w:spacing w:after="0" w:line="240" w:lineRule="auto"/>
              <w:jc w:val="center"/>
              <w:rPr>
                <w:b/>
                <w:color w:val="002060"/>
                <w:sz w:val="18"/>
              </w:rPr>
            </w:pPr>
            <w:r w:rsidRPr="00553A3B">
              <w:rPr>
                <w:b/>
                <w:color w:val="002060"/>
                <w:sz w:val="18"/>
              </w:rPr>
              <w:t>284</w:t>
            </w:r>
          </w:p>
        </w:tc>
        <w:tc>
          <w:tcPr>
            <w:tcW w:w="712" w:type="dxa"/>
            <w:shd w:val="clear" w:color="auto" w:fill="F2F2F2" w:themeFill="background1" w:themeFillShade="F2"/>
            <w:noWrap/>
            <w:hideMark/>
          </w:tcPr>
          <w:p w14:paraId="0A49E01C"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4F2752AF"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329BEC7A"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145EABE8" w14:textId="77777777" w:rsidTr="00060C3E">
        <w:trPr>
          <w:trHeight w:val="300"/>
        </w:trPr>
        <w:tc>
          <w:tcPr>
            <w:tcW w:w="2127" w:type="dxa"/>
            <w:shd w:val="clear" w:color="auto" w:fill="F2F2F2" w:themeFill="background1" w:themeFillShade="F2"/>
            <w:noWrap/>
            <w:hideMark/>
          </w:tcPr>
          <w:p w14:paraId="7E0BCB1F" w14:textId="77777777" w:rsidR="004874BF" w:rsidRPr="00FB35E4" w:rsidRDefault="004874BF" w:rsidP="00964BA1">
            <w:pPr>
              <w:spacing w:after="0" w:line="240" w:lineRule="auto"/>
              <w:rPr>
                <w:color w:val="002060"/>
                <w:sz w:val="18"/>
              </w:rPr>
            </w:pPr>
            <w:r w:rsidRPr="00FB35E4">
              <w:rPr>
                <w:color w:val="002060"/>
                <w:sz w:val="18"/>
              </w:rPr>
              <w:t>Furniture</w:t>
            </w:r>
          </w:p>
        </w:tc>
        <w:tc>
          <w:tcPr>
            <w:tcW w:w="1134" w:type="dxa"/>
            <w:shd w:val="clear" w:color="auto" w:fill="F2F2F2" w:themeFill="background1" w:themeFillShade="F2"/>
          </w:tcPr>
          <w:p w14:paraId="257C576E" w14:textId="77777777" w:rsidR="004874BF" w:rsidRPr="00FB35E4" w:rsidRDefault="004874BF" w:rsidP="00964BA1">
            <w:pPr>
              <w:spacing w:after="0" w:line="240" w:lineRule="auto"/>
              <w:jc w:val="center"/>
              <w:rPr>
                <w:color w:val="002060"/>
                <w:sz w:val="18"/>
              </w:rPr>
            </w:pPr>
            <w:r w:rsidRPr="00FB35E4">
              <w:rPr>
                <w:color w:val="002060"/>
                <w:sz w:val="18"/>
              </w:rPr>
              <w:t>2 121</w:t>
            </w:r>
          </w:p>
        </w:tc>
        <w:tc>
          <w:tcPr>
            <w:tcW w:w="1026" w:type="dxa"/>
            <w:shd w:val="clear" w:color="auto" w:fill="F2F2F2" w:themeFill="background1" w:themeFillShade="F2"/>
          </w:tcPr>
          <w:p w14:paraId="2E32D17B" w14:textId="77777777" w:rsidR="004874BF" w:rsidRPr="00FB35E4" w:rsidRDefault="004874BF" w:rsidP="00964BA1">
            <w:pPr>
              <w:spacing w:after="0" w:line="240" w:lineRule="auto"/>
              <w:jc w:val="center"/>
              <w:rPr>
                <w:color w:val="002060"/>
                <w:sz w:val="18"/>
              </w:rPr>
            </w:pPr>
            <w:r w:rsidRPr="00FB35E4">
              <w:rPr>
                <w:color w:val="002060"/>
                <w:sz w:val="18"/>
              </w:rPr>
              <w:t>1 444</w:t>
            </w:r>
          </w:p>
        </w:tc>
        <w:tc>
          <w:tcPr>
            <w:tcW w:w="1094" w:type="dxa"/>
            <w:shd w:val="clear" w:color="auto" w:fill="F2F2F2" w:themeFill="background1" w:themeFillShade="F2"/>
          </w:tcPr>
          <w:p w14:paraId="6E9B3033"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D9D9D9" w:themeFill="background1" w:themeFillShade="D9"/>
          </w:tcPr>
          <w:p w14:paraId="52951088" w14:textId="77777777" w:rsidR="004874BF" w:rsidRPr="00553A3B" w:rsidRDefault="004874BF" w:rsidP="00964BA1">
            <w:pPr>
              <w:spacing w:after="0" w:line="240" w:lineRule="auto"/>
              <w:jc w:val="center"/>
              <w:rPr>
                <w:b/>
                <w:color w:val="002060"/>
                <w:sz w:val="18"/>
              </w:rPr>
            </w:pPr>
            <w:r w:rsidRPr="00553A3B">
              <w:rPr>
                <w:b/>
                <w:color w:val="002060"/>
                <w:sz w:val="18"/>
              </w:rPr>
              <w:t>3 565</w:t>
            </w:r>
          </w:p>
        </w:tc>
        <w:tc>
          <w:tcPr>
            <w:tcW w:w="712" w:type="dxa"/>
            <w:shd w:val="clear" w:color="auto" w:fill="F2F2F2" w:themeFill="background1" w:themeFillShade="F2"/>
            <w:noWrap/>
            <w:hideMark/>
          </w:tcPr>
          <w:p w14:paraId="3BA822EC"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3C5098B1"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7AFE99C9"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79B60DEC" w14:textId="77777777" w:rsidTr="00060C3E">
        <w:trPr>
          <w:trHeight w:val="300"/>
        </w:trPr>
        <w:tc>
          <w:tcPr>
            <w:tcW w:w="2127" w:type="dxa"/>
            <w:shd w:val="clear" w:color="auto" w:fill="F2F2F2" w:themeFill="background1" w:themeFillShade="F2"/>
            <w:noWrap/>
            <w:hideMark/>
          </w:tcPr>
          <w:p w14:paraId="0EF5AEBD" w14:textId="77777777" w:rsidR="004874BF" w:rsidRPr="00FB35E4" w:rsidRDefault="004874BF" w:rsidP="00964BA1">
            <w:pPr>
              <w:spacing w:after="0" w:line="240" w:lineRule="auto"/>
              <w:rPr>
                <w:color w:val="002060"/>
                <w:sz w:val="18"/>
              </w:rPr>
            </w:pPr>
            <w:r w:rsidRPr="00FB35E4">
              <w:rPr>
                <w:color w:val="002060"/>
                <w:sz w:val="18"/>
              </w:rPr>
              <w:t>Other manufacturing</w:t>
            </w:r>
          </w:p>
        </w:tc>
        <w:tc>
          <w:tcPr>
            <w:tcW w:w="1134" w:type="dxa"/>
            <w:shd w:val="clear" w:color="auto" w:fill="F2F2F2" w:themeFill="background1" w:themeFillShade="F2"/>
          </w:tcPr>
          <w:p w14:paraId="023D38C5" w14:textId="77777777" w:rsidR="004874BF" w:rsidRPr="00FB35E4" w:rsidRDefault="004874BF" w:rsidP="00964BA1">
            <w:pPr>
              <w:spacing w:after="0" w:line="240" w:lineRule="auto"/>
              <w:jc w:val="center"/>
              <w:rPr>
                <w:color w:val="002060"/>
                <w:sz w:val="18"/>
              </w:rPr>
            </w:pPr>
            <w:r w:rsidRPr="00FB35E4">
              <w:rPr>
                <w:color w:val="002060"/>
                <w:sz w:val="18"/>
              </w:rPr>
              <w:t>1 165</w:t>
            </w:r>
          </w:p>
        </w:tc>
        <w:tc>
          <w:tcPr>
            <w:tcW w:w="1026" w:type="dxa"/>
            <w:shd w:val="clear" w:color="auto" w:fill="F2F2F2" w:themeFill="background1" w:themeFillShade="F2"/>
          </w:tcPr>
          <w:p w14:paraId="01B78236" w14:textId="77777777" w:rsidR="004874BF" w:rsidRPr="00FB35E4" w:rsidRDefault="004874BF" w:rsidP="00964BA1">
            <w:pPr>
              <w:spacing w:after="0" w:line="240" w:lineRule="auto"/>
              <w:jc w:val="center"/>
              <w:rPr>
                <w:color w:val="002060"/>
                <w:sz w:val="18"/>
              </w:rPr>
            </w:pPr>
            <w:r w:rsidRPr="00FB35E4">
              <w:rPr>
                <w:color w:val="002060"/>
                <w:sz w:val="18"/>
              </w:rPr>
              <w:t>133 334</w:t>
            </w:r>
          </w:p>
        </w:tc>
        <w:tc>
          <w:tcPr>
            <w:tcW w:w="1094" w:type="dxa"/>
            <w:shd w:val="clear" w:color="auto" w:fill="F2F2F2" w:themeFill="background1" w:themeFillShade="F2"/>
          </w:tcPr>
          <w:p w14:paraId="780AFE46" w14:textId="77777777" w:rsidR="004874BF" w:rsidRPr="00FB35E4" w:rsidRDefault="004874BF" w:rsidP="00964BA1">
            <w:pPr>
              <w:spacing w:after="0" w:line="240" w:lineRule="auto"/>
              <w:jc w:val="center"/>
              <w:rPr>
                <w:color w:val="002060"/>
                <w:sz w:val="18"/>
              </w:rPr>
            </w:pPr>
            <w:r w:rsidRPr="00FB35E4">
              <w:rPr>
                <w:color w:val="002060"/>
                <w:sz w:val="18"/>
              </w:rPr>
              <w:t>1 064</w:t>
            </w:r>
          </w:p>
        </w:tc>
        <w:tc>
          <w:tcPr>
            <w:tcW w:w="1026" w:type="dxa"/>
            <w:shd w:val="clear" w:color="auto" w:fill="D9D9D9" w:themeFill="background1" w:themeFillShade="D9"/>
          </w:tcPr>
          <w:p w14:paraId="58C9BE28" w14:textId="77777777" w:rsidR="004874BF" w:rsidRPr="00553A3B" w:rsidRDefault="004874BF" w:rsidP="00964BA1">
            <w:pPr>
              <w:spacing w:after="0" w:line="240" w:lineRule="auto"/>
              <w:jc w:val="center"/>
              <w:rPr>
                <w:b/>
                <w:color w:val="002060"/>
                <w:sz w:val="18"/>
              </w:rPr>
            </w:pPr>
            <w:r w:rsidRPr="00553A3B">
              <w:rPr>
                <w:b/>
                <w:color w:val="002060"/>
                <w:sz w:val="18"/>
              </w:rPr>
              <w:t>135 562</w:t>
            </w:r>
          </w:p>
        </w:tc>
        <w:tc>
          <w:tcPr>
            <w:tcW w:w="712" w:type="dxa"/>
            <w:shd w:val="clear" w:color="auto" w:fill="F2F2F2" w:themeFill="background1" w:themeFillShade="F2"/>
            <w:noWrap/>
            <w:hideMark/>
          </w:tcPr>
          <w:p w14:paraId="4E90EB1C"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28985E33"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786299E0"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5447C4DD" w14:textId="77777777" w:rsidTr="00060C3E">
        <w:trPr>
          <w:trHeight w:val="300"/>
        </w:trPr>
        <w:tc>
          <w:tcPr>
            <w:tcW w:w="8982" w:type="dxa"/>
            <w:gridSpan w:val="8"/>
            <w:shd w:val="clear" w:color="auto" w:fill="D9D9D9" w:themeFill="background1" w:themeFillShade="D9"/>
            <w:noWrap/>
          </w:tcPr>
          <w:p w14:paraId="58411822" w14:textId="77777777" w:rsidR="004874BF" w:rsidRPr="00FB35E4" w:rsidRDefault="004874BF" w:rsidP="00964BA1">
            <w:pPr>
              <w:spacing w:after="0" w:line="240" w:lineRule="auto"/>
              <w:rPr>
                <w:b/>
                <w:color w:val="002060"/>
                <w:sz w:val="18"/>
              </w:rPr>
            </w:pPr>
            <w:r w:rsidRPr="00FB35E4">
              <w:rPr>
                <w:b/>
                <w:color w:val="002060"/>
                <w:sz w:val="18"/>
              </w:rPr>
              <w:t>SIC 4 – ELECTRICITY, GAS AND WATER</w:t>
            </w:r>
          </w:p>
        </w:tc>
      </w:tr>
      <w:tr w:rsidR="004874BF" w:rsidRPr="00FB35E4" w14:paraId="24458041" w14:textId="77777777" w:rsidTr="00060C3E">
        <w:trPr>
          <w:trHeight w:val="300"/>
        </w:trPr>
        <w:tc>
          <w:tcPr>
            <w:tcW w:w="2127" w:type="dxa"/>
            <w:shd w:val="clear" w:color="auto" w:fill="F2F2F2" w:themeFill="background1" w:themeFillShade="F2"/>
            <w:noWrap/>
            <w:hideMark/>
          </w:tcPr>
          <w:p w14:paraId="60583D6E" w14:textId="77777777" w:rsidR="004874BF" w:rsidRPr="00FB35E4" w:rsidRDefault="004874BF" w:rsidP="00964BA1">
            <w:pPr>
              <w:spacing w:after="0" w:line="240" w:lineRule="auto"/>
              <w:rPr>
                <w:color w:val="002060"/>
                <w:sz w:val="18"/>
              </w:rPr>
            </w:pPr>
            <w:r w:rsidRPr="00FB35E4">
              <w:rPr>
                <w:color w:val="002060"/>
                <w:sz w:val="18"/>
              </w:rPr>
              <w:t>Coal-fired power gen</w:t>
            </w:r>
          </w:p>
        </w:tc>
        <w:tc>
          <w:tcPr>
            <w:tcW w:w="1134" w:type="dxa"/>
            <w:shd w:val="clear" w:color="auto" w:fill="F2F2F2" w:themeFill="background1" w:themeFillShade="F2"/>
          </w:tcPr>
          <w:p w14:paraId="34399B6C" w14:textId="77777777" w:rsidR="004874BF" w:rsidRPr="00FB35E4" w:rsidRDefault="004874BF" w:rsidP="00964BA1">
            <w:pPr>
              <w:spacing w:after="0" w:line="240" w:lineRule="auto"/>
              <w:jc w:val="center"/>
              <w:rPr>
                <w:color w:val="002060"/>
                <w:sz w:val="18"/>
              </w:rPr>
            </w:pPr>
            <w:r w:rsidRPr="00FB35E4">
              <w:rPr>
                <w:color w:val="002060"/>
                <w:sz w:val="18"/>
              </w:rPr>
              <w:t>2 412 161</w:t>
            </w:r>
          </w:p>
        </w:tc>
        <w:tc>
          <w:tcPr>
            <w:tcW w:w="1026" w:type="dxa"/>
            <w:shd w:val="clear" w:color="auto" w:fill="F2F2F2" w:themeFill="background1" w:themeFillShade="F2"/>
          </w:tcPr>
          <w:p w14:paraId="210C5EBF"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94" w:type="dxa"/>
            <w:shd w:val="clear" w:color="auto" w:fill="F2F2F2" w:themeFill="background1" w:themeFillShade="F2"/>
          </w:tcPr>
          <w:p w14:paraId="729B7710" w14:textId="77777777" w:rsidR="004874BF" w:rsidRPr="00FB35E4" w:rsidRDefault="004874BF" w:rsidP="00964BA1">
            <w:pPr>
              <w:spacing w:after="0" w:line="240" w:lineRule="auto"/>
              <w:jc w:val="center"/>
              <w:rPr>
                <w:color w:val="002060"/>
                <w:sz w:val="18"/>
              </w:rPr>
            </w:pPr>
            <w:r w:rsidRPr="00FB35E4">
              <w:rPr>
                <w:color w:val="002060"/>
                <w:sz w:val="18"/>
              </w:rPr>
              <w:t>39 985</w:t>
            </w:r>
          </w:p>
        </w:tc>
        <w:tc>
          <w:tcPr>
            <w:tcW w:w="1026" w:type="dxa"/>
            <w:shd w:val="clear" w:color="auto" w:fill="D9D9D9" w:themeFill="background1" w:themeFillShade="D9"/>
          </w:tcPr>
          <w:p w14:paraId="51338B0F" w14:textId="77777777" w:rsidR="004874BF" w:rsidRPr="00553A3B" w:rsidRDefault="004874BF" w:rsidP="00964BA1">
            <w:pPr>
              <w:spacing w:after="0" w:line="240" w:lineRule="auto"/>
              <w:jc w:val="center"/>
              <w:rPr>
                <w:b/>
                <w:color w:val="002060"/>
                <w:sz w:val="18"/>
              </w:rPr>
            </w:pPr>
            <w:r w:rsidRPr="00553A3B">
              <w:rPr>
                <w:b/>
                <w:color w:val="002060"/>
                <w:sz w:val="18"/>
              </w:rPr>
              <w:t>2 452 146</w:t>
            </w:r>
          </w:p>
        </w:tc>
        <w:tc>
          <w:tcPr>
            <w:tcW w:w="712" w:type="dxa"/>
            <w:shd w:val="clear" w:color="auto" w:fill="F2F2F2" w:themeFill="background1" w:themeFillShade="F2"/>
            <w:noWrap/>
            <w:hideMark/>
          </w:tcPr>
          <w:p w14:paraId="416AAE2B" w14:textId="77777777" w:rsidR="004874BF" w:rsidRPr="00FB35E4" w:rsidRDefault="004874BF" w:rsidP="00964BA1">
            <w:pPr>
              <w:spacing w:after="0" w:line="240" w:lineRule="auto"/>
              <w:jc w:val="center"/>
              <w:rPr>
                <w:color w:val="002060"/>
                <w:sz w:val="18"/>
              </w:rPr>
            </w:pPr>
            <w:r w:rsidRPr="00FB35E4">
              <w:rPr>
                <w:color w:val="002060"/>
                <w:sz w:val="18"/>
              </w:rPr>
              <w:t>4 589</w:t>
            </w:r>
          </w:p>
        </w:tc>
        <w:tc>
          <w:tcPr>
            <w:tcW w:w="712" w:type="dxa"/>
            <w:shd w:val="clear" w:color="auto" w:fill="F2F2F2" w:themeFill="background1" w:themeFillShade="F2"/>
            <w:noWrap/>
            <w:hideMark/>
          </w:tcPr>
          <w:p w14:paraId="34A87ACB" w14:textId="77777777" w:rsidR="004874BF" w:rsidRPr="00FB35E4" w:rsidRDefault="004874BF" w:rsidP="00964BA1">
            <w:pPr>
              <w:spacing w:after="0" w:line="240" w:lineRule="auto"/>
              <w:jc w:val="center"/>
              <w:rPr>
                <w:color w:val="002060"/>
                <w:sz w:val="18"/>
              </w:rPr>
            </w:pPr>
            <w:r w:rsidRPr="00FB35E4">
              <w:rPr>
                <w:color w:val="002060"/>
                <w:sz w:val="18"/>
              </w:rPr>
              <w:t>3 059</w:t>
            </w:r>
          </w:p>
        </w:tc>
        <w:tc>
          <w:tcPr>
            <w:tcW w:w="1151" w:type="dxa"/>
            <w:shd w:val="clear" w:color="auto" w:fill="F2F2F2" w:themeFill="background1" w:themeFillShade="F2"/>
            <w:noWrap/>
            <w:hideMark/>
          </w:tcPr>
          <w:p w14:paraId="3E7B890D" w14:textId="77777777" w:rsidR="004874BF" w:rsidRPr="00FB35E4" w:rsidRDefault="004874BF" w:rsidP="00964BA1">
            <w:pPr>
              <w:spacing w:after="0" w:line="240" w:lineRule="auto"/>
              <w:jc w:val="center"/>
              <w:rPr>
                <w:color w:val="002060"/>
                <w:sz w:val="18"/>
              </w:rPr>
            </w:pPr>
            <w:r w:rsidRPr="00FB35E4">
              <w:rPr>
                <w:color w:val="002060"/>
                <w:sz w:val="18"/>
              </w:rPr>
              <w:t>3 483</w:t>
            </w:r>
          </w:p>
        </w:tc>
      </w:tr>
      <w:tr w:rsidR="004874BF" w:rsidRPr="00FB35E4" w14:paraId="545E662B" w14:textId="77777777" w:rsidTr="00060C3E">
        <w:trPr>
          <w:trHeight w:val="300"/>
        </w:trPr>
        <w:tc>
          <w:tcPr>
            <w:tcW w:w="2127" w:type="dxa"/>
            <w:shd w:val="clear" w:color="auto" w:fill="F2F2F2" w:themeFill="background1" w:themeFillShade="F2"/>
            <w:noWrap/>
            <w:hideMark/>
          </w:tcPr>
          <w:p w14:paraId="195610DC" w14:textId="77777777" w:rsidR="004874BF" w:rsidRPr="00FB35E4" w:rsidRDefault="004874BF" w:rsidP="00964BA1">
            <w:pPr>
              <w:spacing w:after="0" w:line="240" w:lineRule="auto"/>
              <w:rPr>
                <w:color w:val="002060"/>
                <w:sz w:val="18"/>
              </w:rPr>
            </w:pPr>
            <w:r w:rsidRPr="00FB35E4">
              <w:rPr>
                <w:color w:val="002060"/>
                <w:sz w:val="18"/>
              </w:rPr>
              <w:t>Nuclear power gen</w:t>
            </w:r>
          </w:p>
        </w:tc>
        <w:tc>
          <w:tcPr>
            <w:tcW w:w="1134" w:type="dxa"/>
            <w:shd w:val="clear" w:color="auto" w:fill="F2F2F2" w:themeFill="background1" w:themeFillShade="F2"/>
          </w:tcPr>
          <w:p w14:paraId="15D19A32"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F2F2F2" w:themeFill="background1" w:themeFillShade="F2"/>
          </w:tcPr>
          <w:p w14:paraId="25153493"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94" w:type="dxa"/>
            <w:shd w:val="clear" w:color="auto" w:fill="F2F2F2" w:themeFill="background1" w:themeFillShade="F2"/>
          </w:tcPr>
          <w:p w14:paraId="398EBF06" w14:textId="77777777" w:rsidR="004874BF" w:rsidRPr="00FB35E4" w:rsidRDefault="004874BF" w:rsidP="00964BA1">
            <w:pPr>
              <w:spacing w:after="0" w:line="240" w:lineRule="auto"/>
              <w:jc w:val="center"/>
              <w:rPr>
                <w:color w:val="002060"/>
                <w:sz w:val="18"/>
              </w:rPr>
            </w:pPr>
            <w:r w:rsidRPr="00FB35E4">
              <w:rPr>
                <w:color w:val="002060"/>
                <w:sz w:val="18"/>
              </w:rPr>
              <w:t>2 496</w:t>
            </w:r>
          </w:p>
        </w:tc>
        <w:tc>
          <w:tcPr>
            <w:tcW w:w="1026" w:type="dxa"/>
            <w:shd w:val="clear" w:color="auto" w:fill="D9D9D9" w:themeFill="background1" w:themeFillShade="D9"/>
          </w:tcPr>
          <w:p w14:paraId="344317EE" w14:textId="77777777" w:rsidR="004874BF" w:rsidRPr="00553A3B" w:rsidRDefault="004874BF" w:rsidP="00964BA1">
            <w:pPr>
              <w:spacing w:after="0" w:line="240" w:lineRule="auto"/>
              <w:jc w:val="center"/>
              <w:rPr>
                <w:b/>
                <w:color w:val="002060"/>
                <w:sz w:val="18"/>
              </w:rPr>
            </w:pPr>
            <w:r w:rsidRPr="00553A3B">
              <w:rPr>
                <w:b/>
                <w:color w:val="002060"/>
                <w:sz w:val="18"/>
              </w:rPr>
              <w:t>2 496</w:t>
            </w:r>
          </w:p>
        </w:tc>
        <w:tc>
          <w:tcPr>
            <w:tcW w:w="712" w:type="dxa"/>
            <w:shd w:val="clear" w:color="auto" w:fill="F2F2F2" w:themeFill="background1" w:themeFillShade="F2"/>
            <w:noWrap/>
            <w:hideMark/>
          </w:tcPr>
          <w:p w14:paraId="0CF9DBA2" w14:textId="77777777" w:rsidR="004874BF" w:rsidRPr="00FB35E4" w:rsidRDefault="004874BF" w:rsidP="00964BA1">
            <w:pPr>
              <w:spacing w:after="0" w:line="240" w:lineRule="auto"/>
              <w:jc w:val="center"/>
              <w:rPr>
                <w:color w:val="002060"/>
                <w:sz w:val="18"/>
              </w:rPr>
            </w:pPr>
            <w:r w:rsidRPr="00FB35E4">
              <w:rPr>
                <w:color w:val="002060"/>
                <w:sz w:val="18"/>
              </w:rPr>
              <w:t>4 589</w:t>
            </w:r>
          </w:p>
        </w:tc>
        <w:tc>
          <w:tcPr>
            <w:tcW w:w="712" w:type="dxa"/>
            <w:shd w:val="clear" w:color="auto" w:fill="F2F2F2" w:themeFill="background1" w:themeFillShade="F2"/>
            <w:noWrap/>
            <w:hideMark/>
          </w:tcPr>
          <w:p w14:paraId="686B84FB" w14:textId="77777777" w:rsidR="004874BF" w:rsidRPr="00FB35E4" w:rsidRDefault="004874BF" w:rsidP="00964BA1">
            <w:pPr>
              <w:spacing w:after="0" w:line="240" w:lineRule="auto"/>
              <w:jc w:val="center"/>
              <w:rPr>
                <w:color w:val="002060"/>
                <w:sz w:val="18"/>
              </w:rPr>
            </w:pPr>
            <w:r w:rsidRPr="00FB35E4">
              <w:rPr>
                <w:color w:val="002060"/>
                <w:sz w:val="18"/>
              </w:rPr>
              <w:t>3 059</w:t>
            </w:r>
          </w:p>
        </w:tc>
        <w:tc>
          <w:tcPr>
            <w:tcW w:w="1151" w:type="dxa"/>
            <w:shd w:val="clear" w:color="auto" w:fill="F2F2F2" w:themeFill="background1" w:themeFillShade="F2"/>
            <w:noWrap/>
            <w:hideMark/>
          </w:tcPr>
          <w:p w14:paraId="7FD974AF" w14:textId="77777777" w:rsidR="004874BF" w:rsidRPr="00FB35E4" w:rsidRDefault="004874BF" w:rsidP="00964BA1">
            <w:pPr>
              <w:spacing w:after="0" w:line="240" w:lineRule="auto"/>
              <w:jc w:val="center"/>
              <w:rPr>
                <w:color w:val="002060"/>
                <w:sz w:val="18"/>
              </w:rPr>
            </w:pPr>
            <w:r w:rsidRPr="00FB35E4">
              <w:rPr>
                <w:color w:val="002060"/>
                <w:sz w:val="18"/>
              </w:rPr>
              <w:t>3 483</w:t>
            </w:r>
          </w:p>
        </w:tc>
      </w:tr>
      <w:tr w:rsidR="004874BF" w:rsidRPr="00FB35E4" w14:paraId="5C33B8F7" w14:textId="77777777" w:rsidTr="00060C3E">
        <w:trPr>
          <w:trHeight w:val="300"/>
        </w:trPr>
        <w:tc>
          <w:tcPr>
            <w:tcW w:w="2127" w:type="dxa"/>
            <w:shd w:val="clear" w:color="auto" w:fill="F2F2F2" w:themeFill="background1" w:themeFillShade="F2"/>
            <w:noWrap/>
            <w:hideMark/>
          </w:tcPr>
          <w:p w14:paraId="44825E8E" w14:textId="77777777" w:rsidR="004874BF" w:rsidRPr="00FB35E4" w:rsidRDefault="004874BF" w:rsidP="00964BA1">
            <w:pPr>
              <w:spacing w:after="0" w:line="240" w:lineRule="auto"/>
              <w:rPr>
                <w:color w:val="002060"/>
                <w:sz w:val="18"/>
              </w:rPr>
            </w:pPr>
            <w:r w:rsidRPr="00FB35E4">
              <w:rPr>
                <w:color w:val="002060"/>
                <w:sz w:val="18"/>
              </w:rPr>
              <w:t>Wind power generation</w:t>
            </w:r>
          </w:p>
        </w:tc>
        <w:tc>
          <w:tcPr>
            <w:tcW w:w="1134" w:type="dxa"/>
            <w:shd w:val="clear" w:color="auto" w:fill="F2F2F2" w:themeFill="background1" w:themeFillShade="F2"/>
          </w:tcPr>
          <w:p w14:paraId="58724CBE"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F2F2F2" w:themeFill="background1" w:themeFillShade="F2"/>
          </w:tcPr>
          <w:p w14:paraId="33F70917"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94" w:type="dxa"/>
            <w:shd w:val="clear" w:color="auto" w:fill="F2F2F2" w:themeFill="background1" w:themeFillShade="F2"/>
          </w:tcPr>
          <w:p w14:paraId="272478B2" w14:textId="77777777" w:rsidR="004874BF" w:rsidRPr="00FB35E4" w:rsidRDefault="004874BF" w:rsidP="00964BA1">
            <w:pPr>
              <w:spacing w:after="0" w:line="240" w:lineRule="auto"/>
              <w:jc w:val="center"/>
              <w:rPr>
                <w:color w:val="002060"/>
                <w:sz w:val="18"/>
              </w:rPr>
            </w:pPr>
            <w:r w:rsidRPr="00FB35E4">
              <w:rPr>
                <w:color w:val="002060"/>
                <w:sz w:val="18"/>
              </w:rPr>
              <w:t>252</w:t>
            </w:r>
          </w:p>
        </w:tc>
        <w:tc>
          <w:tcPr>
            <w:tcW w:w="1026" w:type="dxa"/>
            <w:shd w:val="clear" w:color="auto" w:fill="D9D9D9" w:themeFill="background1" w:themeFillShade="D9"/>
          </w:tcPr>
          <w:p w14:paraId="3D370720" w14:textId="77777777" w:rsidR="004874BF" w:rsidRPr="00553A3B" w:rsidRDefault="004874BF" w:rsidP="00964BA1">
            <w:pPr>
              <w:spacing w:after="0" w:line="240" w:lineRule="auto"/>
              <w:jc w:val="center"/>
              <w:rPr>
                <w:b/>
                <w:color w:val="002060"/>
                <w:sz w:val="18"/>
              </w:rPr>
            </w:pPr>
            <w:r w:rsidRPr="00553A3B">
              <w:rPr>
                <w:b/>
                <w:color w:val="002060"/>
                <w:sz w:val="18"/>
              </w:rPr>
              <w:t>252</w:t>
            </w:r>
          </w:p>
        </w:tc>
        <w:tc>
          <w:tcPr>
            <w:tcW w:w="712" w:type="dxa"/>
            <w:shd w:val="clear" w:color="auto" w:fill="F2F2F2" w:themeFill="background1" w:themeFillShade="F2"/>
            <w:noWrap/>
            <w:hideMark/>
          </w:tcPr>
          <w:p w14:paraId="031934E4" w14:textId="77777777" w:rsidR="004874BF" w:rsidRPr="00FB35E4" w:rsidRDefault="004874BF" w:rsidP="00964BA1">
            <w:pPr>
              <w:spacing w:after="0" w:line="240" w:lineRule="auto"/>
              <w:jc w:val="center"/>
              <w:rPr>
                <w:color w:val="002060"/>
                <w:sz w:val="18"/>
              </w:rPr>
            </w:pPr>
            <w:r w:rsidRPr="00FB35E4">
              <w:rPr>
                <w:color w:val="002060"/>
                <w:sz w:val="18"/>
              </w:rPr>
              <w:t>4 589</w:t>
            </w:r>
          </w:p>
        </w:tc>
        <w:tc>
          <w:tcPr>
            <w:tcW w:w="712" w:type="dxa"/>
            <w:shd w:val="clear" w:color="auto" w:fill="F2F2F2" w:themeFill="background1" w:themeFillShade="F2"/>
            <w:noWrap/>
            <w:hideMark/>
          </w:tcPr>
          <w:p w14:paraId="790EAF45" w14:textId="77777777" w:rsidR="004874BF" w:rsidRPr="00FB35E4" w:rsidRDefault="004874BF" w:rsidP="00964BA1">
            <w:pPr>
              <w:spacing w:after="0" w:line="240" w:lineRule="auto"/>
              <w:jc w:val="center"/>
              <w:rPr>
                <w:color w:val="002060"/>
                <w:sz w:val="18"/>
              </w:rPr>
            </w:pPr>
            <w:r w:rsidRPr="00FB35E4">
              <w:rPr>
                <w:color w:val="002060"/>
                <w:sz w:val="18"/>
              </w:rPr>
              <w:t>3 059</w:t>
            </w:r>
          </w:p>
        </w:tc>
        <w:tc>
          <w:tcPr>
            <w:tcW w:w="1151" w:type="dxa"/>
            <w:shd w:val="clear" w:color="auto" w:fill="F2F2F2" w:themeFill="background1" w:themeFillShade="F2"/>
            <w:noWrap/>
            <w:hideMark/>
          </w:tcPr>
          <w:p w14:paraId="4366DCDC" w14:textId="77777777" w:rsidR="004874BF" w:rsidRPr="00FB35E4" w:rsidRDefault="004874BF" w:rsidP="00964BA1">
            <w:pPr>
              <w:spacing w:after="0" w:line="240" w:lineRule="auto"/>
              <w:jc w:val="center"/>
              <w:rPr>
                <w:color w:val="002060"/>
                <w:sz w:val="18"/>
              </w:rPr>
            </w:pPr>
            <w:r w:rsidRPr="00FB35E4">
              <w:rPr>
                <w:color w:val="002060"/>
                <w:sz w:val="18"/>
              </w:rPr>
              <w:t>3 483</w:t>
            </w:r>
          </w:p>
        </w:tc>
      </w:tr>
      <w:tr w:rsidR="004874BF" w:rsidRPr="00FB35E4" w14:paraId="605A069C" w14:textId="77777777" w:rsidTr="00060C3E">
        <w:trPr>
          <w:trHeight w:val="300"/>
        </w:trPr>
        <w:tc>
          <w:tcPr>
            <w:tcW w:w="2127" w:type="dxa"/>
            <w:shd w:val="clear" w:color="auto" w:fill="F2F2F2" w:themeFill="background1" w:themeFillShade="F2"/>
            <w:noWrap/>
            <w:hideMark/>
          </w:tcPr>
          <w:p w14:paraId="474BBBCA" w14:textId="77777777" w:rsidR="004874BF" w:rsidRPr="00FB35E4" w:rsidRDefault="004874BF" w:rsidP="00964BA1">
            <w:pPr>
              <w:spacing w:after="0" w:line="240" w:lineRule="auto"/>
              <w:rPr>
                <w:color w:val="002060"/>
                <w:sz w:val="18"/>
              </w:rPr>
            </w:pPr>
            <w:r w:rsidRPr="00FB35E4">
              <w:rPr>
                <w:color w:val="002060"/>
                <w:sz w:val="18"/>
              </w:rPr>
              <w:t>Hydro power generation</w:t>
            </w:r>
          </w:p>
        </w:tc>
        <w:tc>
          <w:tcPr>
            <w:tcW w:w="1134" w:type="dxa"/>
            <w:shd w:val="clear" w:color="auto" w:fill="F2F2F2" w:themeFill="background1" w:themeFillShade="F2"/>
          </w:tcPr>
          <w:p w14:paraId="3F7008FA"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F2F2F2" w:themeFill="background1" w:themeFillShade="F2"/>
          </w:tcPr>
          <w:p w14:paraId="48153B6E"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94" w:type="dxa"/>
            <w:shd w:val="clear" w:color="auto" w:fill="F2F2F2" w:themeFill="background1" w:themeFillShade="F2"/>
          </w:tcPr>
          <w:p w14:paraId="7195D847" w14:textId="77777777" w:rsidR="004874BF" w:rsidRPr="00FB35E4" w:rsidRDefault="004874BF" w:rsidP="00964BA1">
            <w:pPr>
              <w:spacing w:after="0" w:line="240" w:lineRule="auto"/>
              <w:jc w:val="center"/>
              <w:rPr>
                <w:color w:val="002060"/>
                <w:sz w:val="18"/>
              </w:rPr>
            </w:pPr>
            <w:r w:rsidRPr="00FB35E4">
              <w:rPr>
                <w:color w:val="002060"/>
                <w:sz w:val="18"/>
              </w:rPr>
              <w:t>3 505</w:t>
            </w:r>
          </w:p>
        </w:tc>
        <w:tc>
          <w:tcPr>
            <w:tcW w:w="1026" w:type="dxa"/>
            <w:shd w:val="clear" w:color="auto" w:fill="D9D9D9" w:themeFill="background1" w:themeFillShade="D9"/>
          </w:tcPr>
          <w:p w14:paraId="1C971C86" w14:textId="77777777" w:rsidR="004874BF" w:rsidRPr="00553A3B" w:rsidRDefault="004874BF" w:rsidP="00964BA1">
            <w:pPr>
              <w:spacing w:after="0" w:line="240" w:lineRule="auto"/>
              <w:jc w:val="center"/>
              <w:rPr>
                <w:b/>
                <w:color w:val="002060"/>
                <w:sz w:val="18"/>
              </w:rPr>
            </w:pPr>
            <w:r w:rsidRPr="00553A3B">
              <w:rPr>
                <w:b/>
                <w:color w:val="002060"/>
                <w:sz w:val="18"/>
              </w:rPr>
              <w:t>3 505</w:t>
            </w:r>
          </w:p>
        </w:tc>
        <w:tc>
          <w:tcPr>
            <w:tcW w:w="712" w:type="dxa"/>
            <w:shd w:val="clear" w:color="auto" w:fill="F2F2F2" w:themeFill="background1" w:themeFillShade="F2"/>
            <w:noWrap/>
            <w:hideMark/>
          </w:tcPr>
          <w:p w14:paraId="6C2DF68D" w14:textId="77777777" w:rsidR="004874BF" w:rsidRPr="00FB35E4" w:rsidRDefault="004874BF" w:rsidP="00964BA1">
            <w:pPr>
              <w:spacing w:after="0" w:line="240" w:lineRule="auto"/>
              <w:jc w:val="center"/>
              <w:rPr>
                <w:color w:val="002060"/>
                <w:sz w:val="18"/>
              </w:rPr>
            </w:pPr>
            <w:r w:rsidRPr="00FB35E4">
              <w:rPr>
                <w:color w:val="002060"/>
                <w:sz w:val="18"/>
              </w:rPr>
              <w:t>4 589</w:t>
            </w:r>
          </w:p>
        </w:tc>
        <w:tc>
          <w:tcPr>
            <w:tcW w:w="712" w:type="dxa"/>
            <w:shd w:val="clear" w:color="auto" w:fill="F2F2F2" w:themeFill="background1" w:themeFillShade="F2"/>
            <w:noWrap/>
            <w:hideMark/>
          </w:tcPr>
          <w:p w14:paraId="3A587011" w14:textId="77777777" w:rsidR="004874BF" w:rsidRPr="00FB35E4" w:rsidRDefault="004874BF" w:rsidP="00964BA1">
            <w:pPr>
              <w:spacing w:after="0" w:line="240" w:lineRule="auto"/>
              <w:jc w:val="center"/>
              <w:rPr>
                <w:color w:val="002060"/>
                <w:sz w:val="18"/>
              </w:rPr>
            </w:pPr>
            <w:r w:rsidRPr="00FB35E4">
              <w:rPr>
                <w:color w:val="002060"/>
                <w:sz w:val="18"/>
              </w:rPr>
              <w:t>3 059</w:t>
            </w:r>
          </w:p>
        </w:tc>
        <w:tc>
          <w:tcPr>
            <w:tcW w:w="1151" w:type="dxa"/>
            <w:shd w:val="clear" w:color="auto" w:fill="F2F2F2" w:themeFill="background1" w:themeFillShade="F2"/>
            <w:noWrap/>
            <w:hideMark/>
          </w:tcPr>
          <w:p w14:paraId="6DD004EE" w14:textId="77777777" w:rsidR="004874BF" w:rsidRPr="00FB35E4" w:rsidRDefault="004874BF" w:rsidP="00964BA1">
            <w:pPr>
              <w:spacing w:after="0" w:line="240" w:lineRule="auto"/>
              <w:jc w:val="center"/>
              <w:rPr>
                <w:color w:val="002060"/>
                <w:sz w:val="18"/>
              </w:rPr>
            </w:pPr>
            <w:r w:rsidRPr="00FB35E4">
              <w:rPr>
                <w:color w:val="002060"/>
                <w:sz w:val="18"/>
              </w:rPr>
              <w:t>3 483</w:t>
            </w:r>
          </w:p>
        </w:tc>
      </w:tr>
      <w:tr w:rsidR="004874BF" w:rsidRPr="00FB35E4" w14:paraId="5FD067E3" w14:textId="77777777" w:rsidTr="00060C3E">
        <w:trPr>
          <w:trHeight w:val="300"/>
        </w:trPr>
        <w:tc>
          <w:tcPr>
            <w:tcW w:w="2127" w:type="dxa"/>
            <w:shd w:val="clear" w:color="auto" w:fill="F2F2F2" w:themeFill="background1" w:themeFillShade="F2"/>
            <w:noWrap/>
            <w:hideMark/>
          </w:tcPr>
          <w:p w14:paraId="78BC7B17" w14:textId="77777777" w:rsidR="004874BF" w:rsidRPr="00FB35E4" w:rsidRDefault="004874BF" w:rsidP="00964BA1">
            <w:pPr>
              <w:spacing w:after="0" w:line="240" w:lineRule="auto"/>
              <w:rPr>
                <w:color w:val="002060"/>
                <w:sz w:val="18"/>
              </w:rPr>
            </w:pPr>
            <w:r w:rsidRPr="00FB35E4">
              <w:rPr>
                <w:color w:val="002060"/>
                <w:sz w:val="18"/>
              </w:rPr>
              <w:lastRenderedPageBreak/>
              <w:t>Solar PV power gen</w:t>
            </w:r>
          </w:p>
        </w:tc>
        <w:tc>
          <w:tcPr>
            <w:tcW w:w="1134" w:type="dxa"/>
            <w:shd w:val="clear" w:color="auto" w:fill="F2F2F2" w:themeFill="background1" w:themeFillShade="F2"/>
          </w:tcPr>
          <w:p w14:paraId="71CB1B30"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F2F2F2" w:themeFill="background1" w:themeFillShade="F2"/>
          </w:tcPr>
          <w:p w14:paraId="17DEE7C4"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94" w:type="dxa"/>
            <w:shd w:val="clear" w:color="auto" w:fill="F2F2F2" w:themeFill="background1" w:themeFillShade="F2"/>
          </w:tcPr>
          <w:p w14:paraId="5D6E1042" w14:textId="77777777" w:rsidR="004874BF" w:rsidRPr="00FB35E4" w:rsidRDefault="004874BF" w:rsidP="00964BA1">
            <w:pPr>
              <w:spacing w:after="0" w:line="240" w:lineRule="auto"/>
              <w:jc w:val="center"/>
              <w:rPr>
                <w:color w:val="002060"/>
                <w:sz w:val="18"/>
              </w:rPr>
            </w:pPr>
            <w:r w:rsidRPr="00FB35E4">
              <w:rPr>
                <w:color w:val="002060"/>
                <w:sz w:val="18"/>
              </w:rPr>
              <w:t>504</w:t>
            </w:r>
          </w:p>
        </w:tc>
        <w:tc>
          <w:tcPr>
            <w:tcW w:w="1026" w:type="dxa"/>
            <w:shd w:val="clear" w:color="auto" w:fill="D9D9D9" w:themeFill="background1" w:themeFillShade="D9"/>
          </w:tcPr>
          <w:p w14:paraId="6272ADCF" w14:textId="77777777" w:rsidR="004874BF" w:rsidRPr="00553A3B" w:rsidRDefault="004874BF" w:rsidP="00964BA1">
            <w:pPr>
              <w:spacing w:after="0" w:line="240" w:lineRule="auto"/>
              <w:jc w:val="center"/>
              <w:rPr>
                <w:b/>
                <w:color w:val="002060"/>
                <w:sz w:val="18"/>
              </w:rPr>
            </w:pPr>
            <w:r w:rsidRPr="00553A3B">
              <w:rPr>
                <w:b/>
                <w:color w:val="002060"/>
                <w:sz w:val="18"/>
              </w:rPr>
              <w:t>504</w:t>
            </w:r>
          </w:p>
        </w:tc>
        <w:tc>
          <w:tcPr>
            <w:tcW w:w="712" w:type="dxa"/>
            <w:shd w:val="clear" w:color="auto" w:fill="F2F2F2" w:themeFill="background1" w:themeFillShade="F2"/>
            <w:noWrap/>
            <w:hideMark/>
          </w:tcPr>
          <w:p w14:paraId="6482C560" w14:textId="77777777" w:rsidR="004874BF" w:rsidRPr="00FB35E4" w:rsidRDefault="004874BF" w:rsidP="00964BA1">
            <w:pPr>
              <w:spacing w:after="0" w:line="240" w:lineRule="auto"/>
              <w:jc w:val="center"/>
              <w:rPr>
                <w:color w:val="002060"/>
                <w:sz w:val="18"/>
              </w:rPr>
            </w:pPr>
            <w:r w:rsidRPr="00FB35E4">
              <w:rPr>
                <w:color w:val="002060"/>
                <w:sz w:val="18"/>
              </w:rPr>
              <w:t>4 589</w:t>
            </w:r>
          </w:p>
        </w:tc>
        <w:tc>
          <w:tcPr>
            <w:tcW w:w="712" w:type="dxa"/>
            <w:shd w:val="clear" w:color="auto" w:fill="F2F2F2" w:themeFill="background1" w:themeFillShade="F2"/>
            <w:noWrap/>
            <w:hideMark/>
          </w:tcPr>
          <w:p w14:paraId="07DAD24A" w14:textId="77777777" w:rsidR="004874BF" w:rsidRPr="00FB35E4" w:rsidRDefault="004874BF" w:rsidP="00964BA1">
            <w:pPr>
              <w:spacing w:after="0" w:line="240" w:lineRule="auto"/>
              <w:jc w:val="center"/>
              <w:rPr>
                <w:color w:val="002060"/>
                <w:sz w:val="18"/>
              </w:rPr>
            </w:pPr>
            <w:r w:rsidRPr="00FB35E4">
              <w:rPr>
                <w:color w:val="002060"/>
                <w:sz w:val="18"/>
              </w:rPr>
              <w:t>3 059</w:t>
            </w:r>
          </w:p>
        </w:tc>
        <w:tc>
          <w:tcPr>
            <w:tcW w:w="1151" w:type="dxa"/>
            <w:shd w:val="clear" w:color="auto" w:fill="F2F2F2" w:themeFill="background1" w:themeFillShade="F2"/>
            <w:noWrap/>
            <w:hideMark/>
          </w:tcPr>
          <w:p w14:paraId="70C20F43" w14:textId="77777777" w:rsidR="004874BF" w:rsidRPr="00FB35E4" w:rsidRDefault="004874BF" w:rsidP="00964BA1">
            <w:pPr>
              <w:spacing w:after="0" w:line="240" w:lineRule="auto"/>
              <w:jc w:val="center"/>
              <w:rPr>
                <w:color w:val="002060"/>
                <w:sz w:val="18"/>
              </w:rPr>
            </w:pPr>
            <w:r w:rsidRPr="00FB35E4">
              <w:rPr>
                <w:color w:val="002060"/>
                <w:sz w:val="18"/>
              </w:rPr>
              <w:t>3 483</w:t>
            </w:r>
          </w:p>
        </w:tc>
      </w:tr>
      <w:tr w:rsidR="004874BF" w:rsidRPr="00FB35E4" w14:paraId="77471FBF" w14:textId="77777777" w:rsidTr="00060C3E">
        <w:trPr>
          <w:trHeight w:val="300"/>
        </w:trPr>
        <w:tc>
          <w:tcPr>
            <w:tcW w:w="2127" w:type="dxa"/>
            <w:shd w:val="clear" w:color="auto" w:fill="F2F2F2" w:themeFill="background1" w:themeFillShade="F2"/>
            <w:noWrap/>
            <w:hideMark/>
          </w:tcPr>
          <w:p w14:paraId="592E54B1" w14:textId="77777777" w:rsidR="004874BF" w:rsidRPr="00FB35E4" w:rsidRDefault="004874BF" w:rsidP="00964BA1">
            <w:pPr>
              <w:spacing w:after="0" w:line="240" w:lineRule="auto"/>
              <w:rPr>
                <w:color w:val="002060"/>
                <w:sz w:val="18"/>
              </w:rPr>
            </w:pPr>
            <w:r w:rsidRPr="00FB35E4">
              <w:rPr>
                <w:color w:val="002060"/>
                <w:sz w:val="18"/>
              </w:rPr>
              <w:t>Solar CSP power gen</w:t>
            </w:r>
          </w:p>
        </w:tc>
        <w:tc>
          <w:tcPr>
            <w:tcW w:w="1134" w:type="dxa"/>
            <w:shd w:val="clear" w:color="auto" w:fill="F2F2F2" w:themeFill="background1" w:themeFillShade="F2"/>
          </w:tcPr>
          <w:p w14:paraId="6173F359"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F2F2F2" w:themeFill="background1" w:themeFillShade="F2"/>
          </w:tcPr>
          <w:p w14:paraId="384B907F"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94" w:type="dxa"/>
            <w:shd w:val="clear" w:color="auto" w:fill="F2F2F2" w:themeFill="background1" w:themeFillShade="F2"/>
          </w:tcPr>
          <w:p w14:paraId="45F338F2" w14:textId="77777777" w:rsidR="004874BF" w:rsidRPr="00FB35E4" w:rsidRDefault="004874BF" w:rsidP="00964BA1">
            <w:pPr>
              <w:spacing w:after="0" w:line="240" w:lineRule="auto"/>
              <w:jc w:val="center"/>
              <w:rPr>
                <w:color w:val="002060"/>
                <w:sz w:val="18"/>
              </w:rPr>
            </w:pPr>
            <w:r w:rsidRPr="00FB35E4">
              <w:rPr>
                <w:color w:val="002060"/>
                <w:sz w:val="18"/>
              </w:rPr>
              <w:t>252</w:t>
            </w:r>
          </w:p>
        </w:tc>
        <w:tc>
          <w:tcPr>
            <w:tcW w:w="1026" w:type="dxa"/>
            <w:shd w:val="clear" w:color="auto" w:fill="D9D9D9" w:themeFill="background1" w:themeFillShade="D9"/>
          </w:tcPr>
          <w:p w14:paraId="1EDC6978" w14:textId="77777777" w:rsidR="004874BF" w:rsidRPr="00553A3B" w:rsidRDefault="004874BF" w:rsidP="00964BA1">
            <w:pPr>
              <w:spacing w:after="0" w:line="240" w:lineRule="auto"/>
              <w:jc w:val="center"/>
              <w:rPr>
                <w:b/>
                <w:color w:val="002060"/>
                <w:sz w:val="18"/>
              </w:rPr>
            </w:pPr>
            <w:r w:rsidRPr="00553A3B">
              <w:rPr>
                <w:b/>
                <w:color w:val="002060"/>
                <w:sz w:val="18"/>
              </w:rPr>
              <w:t>252</w:t>
            </w:r>
          </w:p>
        </w:tc>
        <w:tc>
          <w:tcPr>
            <w:tcW w:w="712" w:type="dxa"/>
            <w:shd w:val="clear" w:color="auto" w:fill="F2F2F2" w:themeFill="background1" w:themeFillShade="F2"/>
            <w:noWrap/>
            <w:hideMark/>
          </w:tcPr>
          <w:p w14:paraId="08C6D400" w14:textId="77777777" w:rsidR="004874BF" w:rsidRPr="00FB35E4" w:rsidRDefault="004874BF" w:rsidP="00964BA1">
            <w:pPr>
              <w:spacing w:after="0" w:line="240" w:lineRule="auto"/>
              <w:jc w:val="center"/>
              <w:rPr>
                <w:color w:val="002060"/>
                <w:sz w:val="18"/>
              </w:rPr>
            </w:pPr>
            <w:r w:rsidRPr="00FB35E4">
              <w:rPr>
                <w:color w:val="002060"/>
                <w:sz w:val="18"/>
              </w:rPr>
              <w:t>4 589</w:t>
            </w:r>
          </w:p>
        </w:tc>
        <w:tc>
          <w:tcPr>
            <w:tcW w:w="712" w:type="dxa"/>
            <w:shd w:val="clear" w:color="auto" w:fill="F2F2F2" w:themeFill="background1" w:themeFillShade="F2"/>
            <w:noWrap/>
            <w:hideMark/>
          </w:tcPr>
          <w:p w14:paraId="4EBFA857" w14:textId="77777777" w:rsidR="004874BF" w:rsidRPr="00FB35E4" w:rsidRDefault="004874BF" w:rsidP="00964BA1">
            <w:pPr>
              <w:spacing w:after="0" w:line="240" w:lineRule="auto"/>
              <w:jc w:val="center"/>
              <w:rPr>
                <w:color w:val="002060"/>
                <w:sz w:val="18"/>
              </w:rPr>
            </w:pPr>
            <w:r w:rsidRPr="00FB35E4">
              <w:rPr>
                <w:color w:val="002060"/>
                <w:sz w:val="18"/>
              </w:rPr>
              <w:t>3 059</w:t>
            </w:r>
          </w:p>
        </w:tc>
        <w:tc>
          <w:tcPr>
            <w:tcW w:w="1151" w:type="dxa"/>
            <w:shd w:val="clear" w:color="auto" w:fill="F2F2F2" w:themeFill="background1" w:themeFillShade="F2"/>
            <w:noWrap/>
            <w:hideMark/>
          </w:tcPr>
          <w:p w14:paraId="29A9EF1E" w14:textId="77777777" w:rsidR="004874BF" w:rsidRPr="00FB35E4" w:rsidRDefault="004874BF" w:rsidP="00964BA1">
            <w:pPr>
              <w:spacing w:after="0" w:line="240" w:lineRule="auto"/>
              <w:jc w:val="center"/>
              <w:rPr>
                <w:color w:val="002060"/>
                <w:sz w:val="18"/>
              </w:rPr>
            </w:pPr>
            <w:r w:rsidRPr="00FB35E4">
              <w:rPr>
                <w:color w:val="002060"/>
                <w:sz w:val="18"/>
              </w:rPr>
              <w:t>3 483</w:t>
            </w:r>
          </w:p>
        </w:tc>
      </w:tr>
      <w:tr w:rsidR="004874BF" w:rsidRPr="00FB35E4" w14:paraId="5036E2B1" w14:textId="77777777" w:rsidTr="00060C3E">
        <w:trPr>
          <w:trHeight w:val="300"/>
        </w:trPr>
        <w:tc>
          <w:tcPr>
            <w:tcW w:w="2127" w:type="dxa"/>
            <w:shd w:val="clear" w:color="auto" w:fill="F2F2F2" w:themeFill="background1" w:themeFillShade="F2"/>
            <w:noWrap/>
            <w:hideMark/>
          </w:tcPr>
          <w:p w14:paraId="7E99D805" w14:textId="77777777" w:rsidR="004874BF" w:rsidRPr="00FB35E4" w:rsidRDefault="004874BF" w:rsidP="00964BA1">
            <w:pPr>
              <w:spacing w:after="0" w:line="240" w:lineRule="auto"/>
              <w:rPr>
                <w:color w:val="002060"/>
                <w:sz w:val="18"/>
              </w:rPr>
            </w:pPr>
            <w:r w:rsidRPr="00FB35E4">
              <w:rPr>
                <w:color w:val="002060"/>
                <w:sz w:val="18"/>
              </w:rPr>
              <w:t>Gas power generation</w:t>
            </w:r>
          </w:p>
        </w:tc>
        <w:tc>
          <w:tcPr>
            <w:tcW w:w="1134" w:type="dxa"/>
            <w:shd w:val="clear" w:color="auto" w:fill="F2F2F2" w:themeFill="background1" w:themeFillShade="F2"/>
          </w:tcPr>
          <w:p w14:paraId="6F013EE9"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F2F2F2" w:themeFill="background1" w:themeFillShade="F2"/>
          </w:tcPr>
          <w:p w14:paraId="1DD75DAB" w14:textId="77777777" w:rsidR="004874BF" w:rsidRPr="00FB35E4" w:rsidRDefault="004874BF" w:rsidP="00964BA1">
            <w:pPr>
              <w:spacing w:after="0" w:line="240" w:lineRule="auto"/>
              <w:jc w:val="center"/>
              <w:rPr>
                <w:color w:val="002060"/>
                <w:sz w:val="18"/>
              </w:rPr>
            </w:pPr>
            <w:r w:rsidRPr="00FB35E4">
              <w:rPr>
                <w:color w:val="002060"/>
                <w:sz w:val="18"/>
              </w:rPr>
              <w:t>1 168</w:t>
            </w:r>
          </w:p>
        </w:tc>
        <w:tc>
          <w:tcPr>
            <w:tcW w:w="1094" w:type="dxa"/>
            <w:shd w:val="clear" w:color="auto" w:fill="F2F2F2" w:themeFill="background1" w:themeFillShade="F2"/>
          </w:tcPr>
          <w:p w14:paraId="6A3127AF" w14:textId="77777777" w:rsidR="004874BF" w:rsidRPr="00FB35E4" w:rsidRDefault="004874BF" w:rsidP="00964BA1">
            <w:pPr>
              <w:spacing w:after="0" w:line="240" w:lineRule="auto"/>
              <w:jc w:val="center"/>
              <w:rPr>
                <w:color w:val="002060"/>
                <w:sz w:val="18"/>
              </w:rPr>
            </w:pPr>
            <w:r w:rsidRPr="00FB35E4">
              <w:rPr>
                <w:color w:val="002060"/>
                <w:sz w:val="18"/>
              </w:rPr>
              <w:t>504</w:t>
            </w:r>
          </w:p>
        </w:tc>
        <w:tc>
          <w:tcPr>
            <w:tcW w:w="1026" w:type="dxa"/>
            <w:shd w:val="clear" w:color="auto" w:fill="D9D9D9" w:themeFill="background1" w:themeFillShade="D9"/>
          </w:tcPr>
          <w:p w14:paraId="7ACC581C" w14:textId="77777777" w:rsidR="004874BF" w:rsidRPr="00553A3B" w:rsidRDefault="004874BF" w:rsidP="00964BA1">
            <w:pPr>
              <w:spacing w:after="0" w:line="240" w:lineRule="auto"/>
              <w:jc w:val="center"/>
              <w:rPr>
                <w:b/>
                <w:color w:val="002060"/>
                <w:sz w:val="18"/>
              </w:rPr>
            </w:pPr>
            <w:r w:rsidRPr="00553A3B">
              <w:rPr>
                <w:b/>
                <w:color w:val="002060"/>
                <w:sz w:val="18"/>
              </w:rPr>
              <w:t>1 673</w:t>
            </w:r>
          </w:p>
        </w:tc>
        <w:tc>
          <w:tcPr>
            <w:tcW w:w="712" w:type="dxa"/>
            <w:shd w:val="clear" w:color="auto" w:fill="F2F2F2" w:themeFill="background1" w:themeFillShade="F2"/>
            <w:noWrap/>
            <w:hideMark/>
          </w:tcPr>
          <w:p w14:paraId="0C5D2DD3" w14:textId="77777777" w:rsidR="004874BF" w:rsidRPr="00FB35E4" w:rsidRDefault="004874BF" w:rsidP="00964BA1">
            <w:pPr>
              <w:spacing w:after="0" w:line="240" w:lineRule="auto"/>
              <w:jc w:val="center"/>
              <w:rPr>
                <w:color w:val="002060"/>
                <w:sz w:val="18"/>
              </w:rPr>
            </w:pPr>
            <w:r w:rsidRPr="00FB35E4">
              <w:rPr>
                <w:color w:val="002060"/>
                <w:sz w:val="18"/>
              </w:rPr>
              <w:t>4 589</w:t>
            </w:r>
          </w:p>
        </w:tc>
        <w:tc>
          <w:tcPr>
            <w:tcW w:w="712" w:type="dxa"/>
            <w:shd w:val="clear" w:color="auto" w:fill="F2F2F2" w:themeFill="background1" w:themeFillShade="F2"/>
            <w:noWrap/>
            <w:hideMark/>
          </w:tcPr>
          <w:p w14:paraId="6DB3B0AC" w14:textId="77777777" w:rsidR="004874BF" w:rsidRPr="00FB35E4" w:rsidRDefault="004874BF" w:rsidP="00964BA1">
            <w:pPr>
              <w:spacing w:after="0" w:line="240" w:lineRule="auto"/>
              <w:jc w:val="center"/>
              <w:rPr>
                <w:color w:val="002060"/>
                <w:sz w:val="18"/>
              </w:rPr>
            </w:pPr>
            <w:r w:rsidRPr="00FB35E4">
              <w:rPr>
                <w:color w:val="002060"/>
                <w:sz w:val="18"/>
              </w:rPr>
              <w:t>3 059</w:t>
            </w:r>
          </w:p>
        </w:tc>
        <w:tc>
          <w:tcPr>
            <w:tcW w:w="1151" w:type="dxa"/>
            <w:shd w:val="clear" w:color="auto" w:fill="F2F2F2" w:themeFill="background1" w:themeFillShade="F2"/>
            <w:noWrap/>
            <w:hideMark/>
          </w:tcPr>
          <w:p w14:paraId="218D9918" w14:textId="77777777" w:rsidR="004874BF" w:rsidRPr="00FB35E4" w:rsidRDefault="004874BF" w:rsidP="00964BA1">
            <w:pPr>
              <w:spacing w:after="0" w:line="240" w:lineRule="auto"/>
              <w:jc w:val="center"/>
              <w:rPr>
                <w:color w:val="002060"/>
                <w:sz w:val="18"/>
              </w:rPr>
            </w:pPr>
            <w:r w:rsidRPr="00FB35E4">
              <w:rPr>
                <w:color w:val="002060"/>
                <w:sz w:val="18"/>
              </w:rPr>
              <w:t>3 483</w:t>
            </w:r>
          </w:p>
        </w:tc>
      </w:tr>
      <w:tr w:rsidR="004874BF" w:rsidRPr="00FB35E4" w14:paraId="7712CAF7" w14:textId="77777777" w:rsidTr="00060C3E">
        <w:trPr>
          <w:trHeight w:val="300"/>
        </w:trPr>
        <w:tc>
          <w:tcPr>
            <w:tcW w:w="2127" w:type="dxa"/>
            <w:shd w:val="clear" w:color="auto" w:fill="F2F2F2" w:themeFill="background1" w:themeFillShade="F2"/>
            <w:noWrap/>
            <w:hideMark/>
          </w:tcPr>
          <w:p w14:paraId="64A38A3F" w14:textId="77777777" w:rsidR="004874BF" w:rsidRPr="00FB35E4" w:rsidRDefault="004874BF" w:rsidP="00964BA1">
            <w:pPr>
              <w:spacing w:after="0" w:line="240" w:lineRule="auto"/>
              <w:rPr>
                <w:color w:val="002060"/>
                <w:sz w:val="18"/>
              </w:rPr>
            </w:pPr>
            <w:r w:rsidRPr="00FB35E4">
              <w:rPr>
                <w:color w:val="002060"/>
                <w:sz w:val="18"/>
              </w:rPr>
              <w:t>Other generation</w:t>
            </w:r>
          </w:p>
        </w:tc>
        <w:tc>
          <w:tcPr>
            <w:tcW w:w="1134" w:type="dxa"/>
            <w:shd w:val="clear" w:color="auto" w:fill="F2F2F2" w:themeFill="background1" w:themeFillShade="F2"/>
          </w:tcPr>
          <w:p w14:paraId="70FB8CF1" w14:textId="77777777" w:rsidR="004874BF" w:rsidRPr="00FB35E4" w:rsidRDefault="004874BF" w:rsidP="00964BA1">
            <w:pPr>
              <w:spacing w:after="0" w:line="240" w:lineRule="auto"/>
              <w:jc w:val="center"/>
              <w:rPr>
                <w:color w:val="002060"/>
                <w:sz w:val="18"/>
              </w:rPr>
            </w:pPr>
            <w:r w:rsidRPr="00FB35E4">
              <w:rPr>
                <w:color w:val="002060"/>
                <w:sz w:val="18"/>
              </w:rPr>
              <w:t>12 120</w:t>
            </w:r>
          </w:p>
        </w:tc>
        <w:tc>
          <w:tcPr>
            <w:tcW w:w="1026" w:type="dxa"/>
            <w:shd w:val="clear" w:color="auto" w:fill="F2F2F2" w:themeFill="background1" w:themeFillShade="F2"/>
          </w:tcPr>
          <w:p w14:paraId="7D5AF5A1"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94" w:type="dxa"/>
            <w:shd w:val="clear" w:color="auto" w:fill="F2F2F2" w:themeFill="background1" w:themeFillShade="F2"/>
          </w:tcPr>
          <w:p w14:paraId="258E19E6" w14:textId="77777777" w:rsidR="004874BF" w:rsidRPr="00FB35E4" w:rsidRDefault="004874BF" w:rsidP="00964BA1">
            <w:pPr>
              <w:spacing w:after="0" w:line="240" w:lineRule="auto"/>
              <w:jc w:val="center"/>
              <w:rPr>
                <w:color w:val="002060"/>
                <w:sz w:val="18"/>
              </w:rPr>
            </w:pPr>
            <w:r w:rsidRPr="00FB35E4">
              <w:rPr>
                <w:color w:val="002060"/>
                <w:sz w:val="18"/>
              </w:rPr>
              <w:t>2 496</w:t>
            </w:r>
          </w:p>
        </w:tc>
        <w:tc>
          <w:tcPr>
            <w:tcW w:w="1026" w:type="dxa"/>
            <w:shd w:val="clear" w:color="auto" w:fill="D9D9D9" w:themeFill="background1" w:themeFillShade="D9"/>
          </w:tcPr>
          <w:p w14:paraId="5784627F" w14:textId="77777777" w:rsidR="004874BF" w:rsidRPr="00553A3B" w:rsidRDefault="004874BF" w:rsidP="00964BA1">
            <w:pPr>
              <w:spacing w:after="0" w:line="240" w:lineRule="auto"/>
              <w:jc w:val="center"/>
              <w:rPr>
                <w:b/>
                <w:color w:val="002060"/>
                <w:sz w:val="18"/>
              </w:rPr>
            </w:pPr>
            <w:r w:rsidRPr="00553A3B">
              <w:rPr>
                <w:b/>
                <w:color w:val="002060"/>
                <w:sz w:val="18"/>
              </w:rPr>
              <w:t>14 616</w:t>
            </w:r>
          </w:p>
        </w:tc>
        <w:tc>
          <w:tcPr>
            <w:tcW w:w="712" w:type="dxa"/>
            <w:shd w:val="clear" w:color="auto" w:fill="F2F2F2" w:themeFill="background1" w:themeFillShade="F2"/>
            <w:noWrap/>
            <w:hideMark/>
          </w:tcPr>
          <w:p w14:paraId="0CC38917" w14:textId="77777777" w:rsidR="004874BF" w:rsidRPr="00FB35E4" w:rsidRDefault="004874BF" w:rsidP="00964BA1">
            <w:pPr>
              <w:spacing w:after="0" w:line="240" w:lineRule="auto"/>
              <w:jc w:val="center"/>
              <w:rPr>
                <w:color w:val="002060"/>
                <w:sz w:val="18"/>
              </w:rPr>
            </w:pPr>
            <w:r w:rsidRPr="00FB35E4">
              <w:rPr>
                <w:color w:val="002060"/>
                <w:sz w:val="18"/>
              </w:rPr>
              <w:t>4 589</w:t>
            </w:r>
          </w:p>
        </w:tc>
        <w:tc>
          <w:tcPr>
            <w:tcW w:w="712" w:type="dxa"/>
            <w:shd w:val="clear" w:color="auto" w:fill="F2F2F2" w:themeFill="background1" w:themeFillShade="F2"/>
            <w:noWrap/>
            <w:hideMark/>
          </w:tcPr>
          <w:p w14:paraId="446F00DC" w14:textId="77777777" w:rsidR="004874BF" w:rsidRPr="00FB35E4" w:rsidRDefault="004874BF" w:rsidP="00964BA1">
            <w:pPr>
              <w:spacing w:after="0" w:line="240" w:lineRule="auto"/>
              <w:jc w:val="center"/>
              <w:rPr>
                <w:color w:val="002060"/>
                <w:sz w:val="18"/>
              </w:rPr>
            </w:pPr>
            <w:r w:rsidRPr="00FB35E4">
              <w:rPr>
                <w:color w:val="002060"/>
                <w:sz w:val="18"/>
              </w:rPr>
              <w:t>3 059</w:t>
            </w:r>
          </w:p>
        </w:tc>
        <w:tc>
          <w:tcPr>
            <w:tcW w:w="1151" w:type="dxa"/>
            <w:shd w:val="clear" w:color="auto" w:fill="F2F2F2" w:themeFill="background1" w:themeFillShade="F2"/>
            <w:noWrap/>
            <w:hideMark/>
          </w:tcPr>
          <w:p w14:paraId="7180D907" w14:textId="77777777" w:rsidR="004874BF" w:rsidRPr="00FB35E4" w:rsidRDefault="004874BF" w:rsidP="00964BA1">
            <w:pPr>
              <w:spacing w:after="0" w:line="240" w:lineRule="auto"/>
              <w:jc w:val="center"/>
              <w:rPr>
                <w:color w:val="002060"/>
                <w:sz w:val="18"/>
              </w:rPr>
            </w:pPr>
            <w:r w:rsidRPr="00FB35E4">
              <w:rPr>
                <w:color w:val="002060"/>
                <w:sz w:val="18"/>
              </w:rPr>
              <w:t>3 483</w:t>
            </w:r>
          </w:p>
        </w:tc>
      </w:tr>
      <w:tr w:rsidR="004874BF" w:rsidRPr="00FB35E4" w14:paraId="4E07C9A1" w14:textId="77777777" w:rsidTr="00060C3E">
        <w:trPr>
          <w:trHeight w:val="300"/>
        </w:trPr>
        <w:tc>
          <w:tcPr>
            <w:tcW w:w="2127" w:type="dxa"/>
            <w:shd w:val="clear" w:color="auto" w:fill="F2F2F2" w:themeFill="background1" w:themeFillShade="F2"/>
            <w:noWrap/>
            <w:hideMark/>
          </w:tcPr>
          <w:p w14:paraId="27015573" w14:textId="77777777" w:rsidR="004874BF" w:rsidRPr="00FB35E4" w:rsidRDefault="004874BF" w:rsidP="00964BA1">
            <w:pPr>
              <w:spacing w:after="0" w:line="240" w:lineRule="auto"/>
              <w:rPr>
                <w:color w:val="002060"/>
                <w:sz w:val="18"/>
              </w:rPr>
            </w:pPr>
            <w:r w:rsidRPr="00FB35E4">
              <w:rPr>
                <w:color w:val="002060"/>
                <w:sz w:val="18"/>
              </w:rPr>
              <w:t>Electricity distribution</w:t>
            </w:r>
          </w:p>
        </w:tc>
        <w:tc>
          <w:tcPr>
            <w:tcW w:w="1134" w:type="dxa"/>
            <w:shd w:val="clear" w:color="auto" w:fill="F2F2F2" w:themeFill="background1" w:themeFillShade="F2"/>
          </w:tcPr>
          <w:p w14:paraId="7937F005"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F2F2F2" w:themeFill="background1" w:themeFillShade="F2"/>
          </w:tcPr>
          <w:p w14:paraId="71FFE873"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94" w:type="dxa"/>
            <w:shd w:val="clear" w:color="auto" w:fill="F2F2F2" w:themeFill="background1" w:themeFillShade="F2"/>
          </w:tcPr>
          <w:p w14:paraId="01856EB4" w14:textId="77777777" w:rsidR="004874BF" w:rsidRPr="00FB35E4" w:rsidRDefault="004874BF" w:rsidP="00964BA1">
            <w:pPr>
              <w:spacing w:after="0" w:line="240" w:lineRule="auto"/>
              <w:jc w:val="center"/>
              <w:rPr>
                <w:color w:val="002060"/>
                <w:sz w:val="18"/>
              </w:rPr>
            </w:pPr>
            <w:r w:rsidRPr="00FB35E4">
              <w:rPr>
                <w:color w:val="002060"/>
                <w:sz w:val="18"/>
              </w:rPr>
              <w:t>12 492</w:t>
            </w:r>
          </w:p>
        </w:tc>
        <w:tc>
          <w:tcPr>
            <w:tcW w:w="1026" w:type="dxa"/>
            <w:shd w:val="clear" w:color="auto" w:fill="D9D9D9" w:themeFill="background1" w:themeFillShade="D9"/>
          </w:tcPr>
          <w:p w14:paraId="76F4AAA8" w14:textId="77777777" w:rsidR="004874BF" w:rsidRPr="00553A3B" w:rsidRDefault="004874BF" w:rsidP="00964BA1">
            <w:pPr>
              <w:spacing w:after="0" w:line="240" w:lineRule="auto"/>
              <w:jc w:val="center"/>
              <w:rPr>
                <w:b/>
                <w:color w:val="002060"/>
                <w:sz w:val="18"/>
              </w:rPr>
            </w:pPr>
            <w:r w:rsidRPr="00553A3B">
              <w:rPr>
                <w:b/>
                <w:color w:val="002060"/>
                <w:sz w:val="18"/>
              </w:rPr>
              <w:t>12 492</w:t>
            </w:r>
          </w:p>
        </w:tc>
        <w:tc>
          <w:tcPr>
            <w:tcW w:w="712" w:type="dxa"/>
            <w:shd w:val="clear" w:color="auto" w:fill="F2F2F2" w:themeFill="background1" w:themeFillShade="F2"/>
            <w:noWrap/>
            <w:hideMark/>
          </w:tcPr>
          <w:p w14:paraId="2343E2E0" w14:textId="77777777" w:rsidR="004874BF" w:rsidRPr="00FB35E4" w:rsidRDefault="004874BF" w:rsidP="00964BA1">
            <w:pPr>
              <w:spacing w:after="0" w:line="240" w:lineRule="auto"/>
              <w:jc w:val="center"/>
              <w:rPr>
                <w:color w:val="002060"/>
                <w:sz w:val="18"/>
              </w:rPr>
            </w:pPr>
            <w:r w:rsidRPr="00FB35E4">
              <w:rPr>
                <w:color w:val="002060"/>
                <w:sz w:val="18"/>
              </w:rPr>
              <w:t>4 589</w:t>
            </w:r>
          </w:p>
        </w:tc>
        <w:tc>
          <w:tcPr>
            <w:tcW w:w="712" w:type="dxa"/>
            <w:shd w:val="clear" w:color="auto" w:fill="F2F2F2" w:themeFill="background1" w:themeFillShade="F2"/>
            <w:noWrap/>
            <w:hideMark/>
          </w:tcPr>
          <w:p w14:paraId="7E636358" w14:textId="77777777" w:rsidR="004874BF" w:rsidRPr="00FB35E4" w:rsidRDefault="004874BF" w:rsidP="00964BA1">
            <w:pPr>
              <w:spacing w:after="0" w:line="240" w:lineRule="auto"/>
              <w:jc w:val="center"/>
              <w:rPr>
                <w:color w:val="002060"/>
                <w:sz w:val="18"/>
              </w:rPr>
            </w:pPr>
            <w:r w:rsidRPr="00FB35E4">
              <w:rPr>
                <w:color w:val="002060"/>
                <w:sz w:val="18"/>
              </w:rPr>
              <w:t>3 059</w:t>
            </w:r>
          </w:p>
        </w:tc>
        <w:tc>
          <w:tcPr>
            <w:tcW w:w="1151" w:type="dxa"/>
            <w:shd w:val="clear" w:color="auto" w:fill="F2F2F2" w:themeFill="background1" w:themeFillShade="F2"/>
            <w:noWrap/>
            <w:hideMark/>
          </w:tcPr>
          <w:p w14:paraId="45E71B1C" w14:textId="77777777" w:rsidR="004874BF" w:rsidRPr="00FB35E4" w:rsidRDefault="004874BF" w:rsidP="00964BA1">
            <w:pPr>
              <w:spacing w:after="0" w:line="240" w:lineRule="auto"/>
              <w:jc w:val="center"/>
              <w:rPr>
                <w:color w:val="002060"/>
                <w:sz w:val="18"/>
              </w:rPr>
            </w:pPr>
            <w:r w:rsidRPr="00FB35E4">
              <w:rPr>
                <w:color w:val="002060"/>
                <w:sz w:val="18"/>
              </w:rPr>
              <w:t>3 483</w:t>
            </w:r>
          </w:p>
        </w:tc>
      </w:tr>
      <w:tr w:rsidR="004874BF" w:rsidRPr="00FB35E4" w14:paraId="492DBED8" w14:textId="77777777" w:rsidTr="00060C3E">
        <w:trPr>
          <w:trHeight w:val="300"/>
        </w:trPr>
        <w:tc>
          <w:tcPr>
            <w:tcW w:w="2127" w:type="dxa"/>
            <w:shd w:val="clear" w:color="auto" w:fill="F2F2F2" w:themeFill="background1" w:themeFillShade="F2"/>
            <w:noWrap/>
            <w:hideMark/>
          </w:tcPr>
          <w:p w14:paraId="1BCEF1C5" w14:textId="77777777" w:rsidR="004874BF" w:rsidRPr="00FB35E4" w:rsidRDefault="004874BF" w:rsidP="00964BA1">
            <w:pPr>
              <w:spacing w:after="0" w:line="240" w:lineRule="auto"/>
              <w:rPr>
                <w:color w:val="002060"/>
                <w:sz w:val="18"/>
              </w:rPr>
            </w:pPr>
            <w:r w:rsidRPr="00FB35E4">
              <w:rPr>
                <w:color w:val="002060"/>
                <w:sz w:val="18"/>
              </w:rPr>
              <w:t>Water</w:t>
            </w:r>
          </w:p>
        </w:tc>
        <w:tc>
          <w:tcPr>
            <w:tcW w:w="1134" w:type="dxa"/>
            <w:shd w:val="clear" w:color="auto" w:fill="F2F2F2" w:themeFill="background1" w:themeFillShade="F2"/>
          </w:tcPr>
          <w:p w14:paraId="6D1DC298" w14:textId="77777777" w:rsidR="004874BF" w:rsidRPr="00FB35E4" w:rsidRDefault="004874BF" w:rsidP="00964BA1">
            <w:pPr>
              <w:spacing w:after="0" w:line="240" w:lineRule="auto"/>
              <w:jc w:val="center"/>
              <w:rPr>
                <w:color w:val="002060"/>
                <w:sz w:val="18"/>
              </w:rPr>
            </w:pPr>
            <w:r w:rsidRPr="00FB35E4">
              <w:rPr>
                <w:color w:val="002060"/>
                <w:sz w:val="18"/>
              </w:rPr>
              <w:t>12 710</w:t>
            </w:r>
          </w:p>
        </w:tc>
        <w:tc>
          <w:tcPr>
            <w:tcW w:w="1026" w:type="dxa"/>
            <w:shd w:val="clear" w:color="auto" w:fill="F2F2F2" w:themeFill="background1" w:themeFillShade="F2"/>
          </w:tcPr>
          <w:p w14:paraId="29BF2B9E" w14:textId="77777777" w:rsidR="004874BF" w:rsidRPr="00FB35E4" w:rsidRDefault="004874BF" w:rsidP="00964BA1">
            <w:pPr>
              <w:spacing w:after="0" w:line="240" w:lineRule="auto"/>
              <w:jc w:val="center"/>
              <w:rPr>
                <w:color w:val="002060"/>
                <w:sz w:val="18"/>
              </w:rPr>
            </w:pPr>
            <w:r w:rsidRPr="00FB35E4">
              <w:rPr>
                <w:color w:val="002060"/>
                <w:sz w:val="18"/>
              </w:rPr>
              <w:t>48</w:t>
            </w:r>
          </w:p>
        </w:tc>
        <w:tc>
          <w:tcPr>
            <w:tcW w:w="1094" w:type="dxa"/>
            <w:shd w:val="clear" w:color="auto" w:fill="F2F2F2" w:themeFill="background1" w:themeFillShade="F2"/>
          </w:tcPr>
          <w:p w14:paraId="25F9238B" w14:textId="77777777" w:rsidR="004874BF" w:rsidRPr="00FB35E4" w:rsidRDefault="004874BF" w:rsidP="00964BA1">
            <w:pPr>
              <w:spacing w:after="0" w:line="240" w:lineRule="auto"/>
              <w:jc w:val="center"/>
              <w:rPr>
                <w:color w:val="002060"/>
                <w:sz w:val="18"/>
              </w:rPr>
            </w:pPr>
            <w:r w:rsidRPr="00FB35E4">
              <w:rPr>
                <w:color w:val="002060"/>
                <w:sz w:val="18"/>
              </w:rPr>
              <w:t>388</w:t>
            </w:r>
          </w:p>
        </w:tc>
        <w:tc>
          <w:tcPr>
            <w:tcW w:w="1026" w:type="dxa"/>
            <w:shd w:val="clear" w:color="auto" w:fill="D9D9D9" w:themeFill="background1" w:themeFillShade="D9"/>
          </w:tcPr>
          <w:p w14:paraId="61D5487C" w14:textId="77777777" w:rsidR="004874BF" w:rsidRPr="00553A3B" w:rsidRDefault="004874BF" w:rsidP="00964BA1">
            <w:pPr>
              <w:spacing w:after="0" w:line="240" w:lineRule="auto"/>
              <w:jc w:val="center"/>
              <w:rPr>
                <w:b/>
                <w:color w:val="002060"/>
                <w:sz w:val="18"/>
              </w:rPr>
            </w:pPr>
            <w:r w:rsidRPr="00553A3B">
              <w:rPr>
                <w:b/>
                <w:color w:val="002060"/>
                <w:sz w:val="18"/>
              </w:rPr>
              <w:t>13 146</w:t>
            </w:r>
          </w:p>
        </w:tc>
        <w:tc>
          <w:tcPr>
            <w:tcW w:w="712" w:type="dxa"/>
            <w:shd w:val="clear" w:color="auto" w:fill="F2F2F2" w:themeFill="background1" w:themeFillShade="F2"/>
            <w:noWrap/>
            <w:hideMark/>
          </w:tcPr>
          <w:p w14:paraId="4E4AB7B4"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23765B7E"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0EA0C838"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2F78D22E" w14:textId="77777777" w:rsidTr="00060C3E">
        <w:trPr>
          <w:trHeight w:val="300"/>
        </w:trPr>
        <w:tc>
          <w:tcPr>
            <w:tcW w:w="8982" w:type="dxa"/>
            <w:gridSpan w:val="8"/>
            <w:shd w:val="clear" w:color="auto" w:fill="D9D9D9" w:themeFill="background1" w:themeFillShade="D9"/>
            <w:noWrap/>
          </w:tcPr>
          <w:p w14:paraId="7AFF4EA4" w14:textId="77777777" w:rsidR="004874BF" w:rsidRPr="00FB35E4" w:rsidRDefault="004874BF" w:rsidP="00964BA1">
            <w:pPr>
              <w:spacing w:after="0" w:line="240" w:lineRule="auto"/>
              <w:rPr>
                <w:b/>
                <w:color w:val="002060"/>
                <w:sz w:val="18"/>
              </w:rPr>
            </w:pPr>
            <w:r w:rsidRPr="00FB35E4">
              <w:rPr>
                <w:b/>
                <w:color w:val="002060"/>
                <w:sz w:val="18"/>
              </w:rPr>
              <w:t>SIC 5 CONSTRUCTION</w:t>
            </w:r>
          </w:p>
        </w:tc>
      </w:tr>
      <w:tr w:rsidR="004874BF" w:rsidRPr="00FB35E4" w14:paraId="711D8172" w14:textId="77777777" w:rsidTr="00060C3E">
        <w:trPr>
          <w:trHeight w:val="300"/>
        </w:trPr>
        <w:tc>
          <w:tcPr>
            <w:tcW w:w="2127" w:type="dxa"/>
            <w:shd w:val="clear" w:color="auto" w:fill="F2F2F2" w:themeFill="background1" w:themeFillShade="F2"/>
            <w:noWrap/>
            <w:hideMark/>
          </w:tcPr>
          <w:p w14:paraId="4923F811" w14:textId="77777777" w:rsidR="004874BF" w:rsidRPr="00FB35E4" w:rsidRDefault="004874BF" w:rsidP="00964BA1">
            <w:pPr>
              <w:spacing w:after="0" w:line="240" w:lineRule="auto"/>
              <w:rPr>
                <w:color w:val="002060"/>
                <w:sz w:val="18"/>
              </w:rPr>
            </w:pPr>
            <w:r w:rsidRPr="00FB35E4">
              <w:rPr>
                <w:color w:val="002060"/>
                <w:sz w:val="18"/>
              </w:rPr>
              <w:t>Construction</w:t>
            </w:r>
          </w:p>
        </w:tc>
        <w:tc>
          <w:tcPr>
            <w:tcW w:w="1134" w:type="dxa"/>
            <w:shd w:val="clear" w:color="auto" w:fill="F2F2F2" w:themeFill="background1" w:themeFillShade="F2"/>
          </w:tcPr>
          <w:p w14:paraId="03F0775A"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F2F2F2" w:themeFill="background1" w:themeFillShade="F2"/>
          </w:tcPr>
          <w:p w14:paraId="3B1F5CA3" w14:textId="77777777" w:rsidR="004874BF" w:rsidRPr="00FB35E4" w:rsidRDefault="004874BF" w:rsidP="00964BA1">
            <w:pPr>
              <w:spacing w:after="0" w:line="240" w:lineRule="auto"/>
              <w:jc w:val="center"/>
              <w:rPr>
                <w:color w:val="002060"/>
                <w:sz w:val="18"/>
              </w:rPr>
            </w:pPr>
            <w:r w:rsidRPr="00FB35E4">
              <w:rPr>
                <w:color w:val="002060"/>
                <w:sz w:val="18"/>
              </w:rPr>
              <w:t>6 888</w:t>
            </w:r>
          </w:p>
        </w:tc>
        <w:tc>
          <w:tcPr>
            <w:tcW w:w="1094" w:type="dxa"/>
            <w:shd w:val="clear" w:color="auto" w:fill="F2F2F2" w:themeFill="background1" w:themeFillShade="F2"/>
          </w:tcPr>
          <w:p w14:paraId="3D31A1BF" w14:textId="77777777" w:rsidR="004874BF" w:rsidRPr="00FB35E4" w:rsidRDefault="004874BF" w:rsidP="00964BA1">
            <w:pPr>
              <w:spacing w:after="0" w:line="240" w:lineRule="auto"/>
              <w:jc w:val="center"/>
              <w:rPr>
                <w:color w:val="002060"/>
                <w:sz w:val="18"/>
              </w:rPr>
            </w:pPr>
            <w:r w:rsidRPr="00FB35E4">
              <w:rPr>
                <w:color w:val="002060"/>
                <w:sz w:val="18"/>
              </w:rPr>
              <w:t>10 509</w:t>
            </w:r>
          </w:p>
        </w:tc>
        <w:tc>
          <w:tcPr>
            <w:tcW w:w="1026" w:type="dxa"/>
            <w:shd w:val="clear" w:color="auto" w:fill="D9D9D9" w:themeFill="background1" w:themeFillShade="D9"/>
          </w:tcPr>
          <w:p w14:paraId="3416EFA2" w14:textId="77777777" w:rsidR="004874BF" w:rsidRPr="00553A3B" w:rsidRDefault="004874BF" w:rsidP="00964BA1">
            <w:pPr>
              <w:spacing w:after="0" w:line="240" w:lineRule="auto"/>
              <w:jc w:val="center"/>
              <w:rPr>
                <w:b/>
                <w:color w:val="002060"/>
                <w:sz w:val="18"/>
              </w:rPr>
            </w:pPr>
            <w:r w:rsidRPr="00553A3B">
              <w:rPr>
                <w:b/>
                <w:color w:val="002060"/>
                <w:sz w:val="18"/>
              </w:rPr>
              <w:t>17 397</w:t>
            </w:r>
          </w:p>
        </w:tc>
        <w:tc>
          <w:tcPr>
            <w:tcW w:w="712" w:type="dxa"/>
            <w:shd w:val="clear" w:color="auto" w:fill="F2F2F2" w:themeFill="background1" w:themeFillShade="F2"/>
            <w:noWrap/>
            <w:hideMark/>
          </w:tcPr>
          <w:p w14:paraId="6EF3EC1F"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1EB64C09"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528FC8F7"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426C7698" w14:textId="77777777" w:rsidTr="00060C3E">
        <w:trPr>
          <w:trHeight w:val="300"/>
        </w:trPr>
        <w:tc>
          <w:tcPr>
            <w:tcW w:w="8982" w:type="dxa"/>
            <w:gridSpan w:val="8"/>
            <w:shd w:val="clear" w:color="auto" w:fill="D9D9D9" w:themeFill="background1" w:themeFillShade="D9"/>
            <w:noWrap/>
          </w:tcPr>
          <w:p w14:paraId="13FBEAD4" w14:textId="77777777" w:rsidR="004874BF" w:rsidRPr="00FB35E4" w:rsidRDefault="004874BF" w:rsidP="00964BA1">
            <w:pPr>
              <w:spacing w:after="0" w:line="240" w:lineRule="auto"/>
              <w:rPr>
                <w:b/>
                <w:color w:val="002060"/>
                <w:sz w:val="18"/>
              </w:rPr>
            </w:pPr>
            <w:r w:rsidRPr="00FB35E4">
              <w:rPr>
                <w:b/>
                <w:color w:val="002060"/>
                <w:sz w:val="18"/>
              </w:rPr>
              <w:t>SIC 6 WHOLESALE &amp; RETAIL TRADE AND HOTEL &amp; RESTAURANT SERVICES</w:t>
            </w:r>
          </w:p>
        </w:tc>
      </w:tr>
      <w:tr w:rsidR="004874BF" w:rsidRPr="00FB35E4" w14:paraId="6D156B8D" w14:textId="77777777" w:rsidTr="00060C3E">
        <w:trPr>
          <w:trHeight w:val="300"/>
        </w:trPr>
        <w:tc>
          <w:tcPr>
            <w:tcW w:w="2127" w:type="dxa"/>
            <w:shd w:val="clear" w:color="auto" w:fill="F2F2F2" w:themeFill="background1" w:themeFillShade="F2"/>
            <w:noWrap/>
            <w:hideMark/>
          </w:tcPr>
          <w:p w14:paraId="560E8C2B" w14:textId="77777777" w:rsidR="004874BF" w:rsidRPr="00FB35E4" w:rsidRDefault="004874BF" w:rsidP="00964BA1">
            <w:pPr>
              <w:spacing w:after="0" w:line="240" w:lineRule="auto"/>
              <w:rPr>
                <w:color w:val="002060"/>
                <w:sz w:val="18"/>
              </w:rPr>
            </w:pPr>
            <w:r w:rsidRPr="00FB35E4">
              <w:rPr>
                <w:color w:val="002060"/>
                <w:sz w:val="18"/>
              </w:rPr>
              <w:t>Trade</w:t>
            </w:r>
          </w:p>
        </w:tc>
        <w:tc>
          <w:tcPr>
            <w:tcW w:w="1134" w:type="dxa"/>
            <w:shd w:val="clear" w:color="auto" w:fill="F2F2F2" w:themeFill="background1" w:themeFillShade="F2"/>
          </w:tcPr>
          <w:p w14:paraId="07243D7E"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F2F2F2" w:themeFill="background1" w:themeFillShade="F2"/>
          </w:tcPr>
          <w:p w14:paraId="1457C585"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94" w:type="dxa"/>
            <w:shd w:val="clear" w:color="auto" w:fill="F2F2F2" w:themeFill="background1" w:themeFillShade="F2"/>
          </w:tcPr>
          <w:p w14:paraId="06414262" w14:textId="77777777" w:rsidR="004874BF" w:rsidRPr="00FB35E4" w:rsidRDefault="004874BF" w:rsidP="00964BA1">
            <w:pPr>
              <w:spacing w:after="0" w:line="240" w:lineRule="auto"/>
              <w:jc w:val="center"/>
              <w:rPr>
                <w:color w:val="002060"/>
                <w:sz w:val="18"/>
              </w:rPr>
            </w:pPr>
            <w:r w:rsidRPr="00FB35E4">
              <w:rPr>
                <w:color w:val="002060"/>
                <w:sz w:val="18"/>
              </w:rPr>
              <w:t>44 780</w:t>
            </w:r>
          </w:p>
        </w:tc>
        <w:tc>
          <w:tcPr>
            <w:tcW w:w="1026" w:type="dxa"/>
            <w:shd w:val="clear" w:color="auto" w:fill="D9D9D9" w:themeFill="background1" w:themeFillShade="D9"/>
          </w:tcPr>
          <w:p w14:paraId="109C4C85" w14:textId="77777777" w:rsidR="004874BF" w:rsidRPr="00553A3B" w:rsidRDefault="004874BF" w:rsidP="00964BA1">
            <w:pPr>
              <w:spacing w:after="0" w:line="240" w:lineRule="auto"/>
              <w:jc w:val="center"/>
              <w:rPr>
                <w:b/>
                <w:color w:val="002060"/>
                <w:sz w:val="18"/>
              </w:rPr>
            </w:pPr>
            <w:r w:rsidRPr="00553A3B">
              <w:rPr>
                <w:b/>
                <w:color w:val="002060"/>
                <w:sz w:val="18"/>
              </w:rPr>
              <w:t>44 780</w:t>
            </w:r>
          </w:p>
        </w:tc>
        <w:tc>
          <w:tcPr>
            <w:tcW w:w="712" w:type="dxa"/>
            <w:shd w:val="clear" w:color="auto" w:fill="F2F2F2" w:themeFill="background1" w:themeFillShade="F2"/>
            <w:noWrap/>
            <w:hideMark/>
          </w:tcPr>
          <w:p w14:paraId="57305684"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7473FBBD"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208D702E"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3FBC95ED" w14:textId="77777777" w:rsidTr="00060C3E">
        <w:trPr>
          <w:trHeight w:val="300"/>
        </w:trPr>
        <w:tc>
          <w:tcPr>
            <w:tcW w:w="2127" w:type="dxa"/>
            <w:shd w:val="clear" w:color="auto" w:fill="F2F2F2" w:themeFill="background1" w:themeFillShade="F2"/>
            <w:noWrap/>
            <w:hideMark/>
          </w:tcPr>
          <w:p w14:paraId="69CBEE11" w14:textId="77777777" w:rsidR="004874BF" w:rsidRPr="00FB35E4" w:rsidRDefault="004874BF" w:rsidP="00964BA1">
            <w:pPr>
              <w:spacing w:after="0" w:line="240" w:lineRule="auto"/>
              <w:rPr>
                <w:color w:val="002060"/>
                <w:sz w:val="18"/>
              </w:rPr>
            </w:pPr>
            <w:r w:rsidRPr="00FB35E4">
              <w:rPr>
                <w:color w:val="002060"/>
                <w:sz w:val="18"/>
              </w:rPr>
              <w:t>Hotel and restaurants</w:t>
            </w:r>
          </w:p>
        </w:tc>
        <w:tc>
          <w:tcPr>
            <w:tcW w:w="1134" w:type="dxa"/>
            <w:shd w:val="clear" w:color="auto" w:fill="F2F2F2" w:themeFill="background1" w:themeFillShade="F2"/>
          </w:tcPr>
          <w:p w14:paraId="4F78E71B" w14:textId="77777777" w:rsidR="004874BF" w:rsidRPr="00FB35E4" w:rsidRDefault="004874BF" w:rsidP="00964BA1">
            <w:pPr>
              <w:spacing w:after="0" w:line="240" w:lineRule="auto"/>
              <w:jc w:val="center"/>
              <w:rPr>
                <w:color w:val="002060"/>
                <w:sz w:val="18"/>
              </w:rPr>
            </w:pPr>
            <w:r w:rsidRPr="00FB35E4">
              <w:rPr>
                <w:color w:val="002060"/>
                <w:sz w:val="18"/>
              </w:rPr>
              <w:t>3 029</w:t>
            </w:r>
          </w:p>
        </w:tc>
        <w:tc>
          <w:tcPr>
            <w:tcW w:w="1026" w:type="dxa"/>
            <w:shd w:val="clear" w:color="auto" w:fill="F2F2F2" w:themeFill="background1" w:themeFillShade="F2"/>
          </w:tcPr>
          <w:p w14:paraId="6C46C3FB" w14:textId="77777777" w:rsidR="004874BF" w:rsidRPr="00FB35E4" w:rsidRDefault="004874BF" w:rsidP="00964BA1">
            <w:pPr>
              <w:spacing w:after="0" w:line="240" w:lineRule="auto"/>
              <w:jc w:val="center"/>
              <w:rPr>
                <w:color w:val="002060"/>
                <w:sz w:val="18"/>
              </w:rPr>
            </w:pPr>
            <w:r w:rsidRPr="00FB35E4">
              <w:rPr>
                <w:color w:val="002060"/>
                <w:sz w:val="18"/>
              </w:rPr>
              <w:t>248</w:t>
            </w:r>
          </w:p>
        </w:tc>
        <w:tc>
          <w:tcPr>
            <w:tcW w:w="1094" w:type="dxa"/>
            <w:shd w:val="clear" w:color="auto" w:fill="F2F2F2" w:themeFill="background1" w:themeFillShade="F2"/>
          </w:tcPr>
          <w:p w14:paraId="71D977D4" w14:textId="77777777" w:rsidR="004874BF" w:rsidRPr="00FB35E4" w:rsidRDefault="004874BF" w:rsidP="00964BA1">
            <w:pPr>
              <w:spacing w:after="0" w:line="240" w:lineRule="auto"/>
              <w:jc w:val="center"/>
              <w:rPr>
                <w:color w:val="002060"/>
                <w:sz w:val="18"/>
              </w:rPr>
            </w:pPr>
            <w:r w:rsidRPr="00FB35E4">
              <w:rPr>
                <w:color w:val="002060"/>
                <w:sz w:val="18"/>
              </w:rPr>
              <w:t>2 804</w:t>
            </w:r>
          </w:p>
        </w:tc>
        <w:tc>
          <w:tcPr>
            <w:tcW w:w="1026" w:type="dxa"/>
            <w:shd w:val="clear" w:color="auto" w:fill="D9D9D9" w:themeFill="background1" w:themeFillShade="D9"/>
          </w:tcPr>
          <w:p w14:paraId="3ED705C3" w14:textId="77777777" w:rsidR="004874BF" w:rsidRPr="00553A3B" w:rsidRDefault="004874BF" w:rsidP="00964BA1">
            <w:pPr>
              <w:spacing w:after="0" w:line="240" w:lineRule="auto"/>
              <w:jc w:val="center"/>
              <w:rPr>
                <w:b/>
                <w:color w:val="002060"/>
                <w:sz w:val="18"/>
              </w:rPr>
            </w:pPr>
            <w:r w:rsidRPr="00553A3B">
              <w:rPr>
                <w:b/>
                <w:color w:val="002060"/>
                <w:sz w:val="18"/>
              </w:rPr>
              <w:t>6 082</w:t>
            </w:r>
          </w:p>
        </w:tc>
        <w:tc>
          <w:tcPr>
            <w:tcW w:w="712" w:type="dxa"/>
            <w:shd w:val="clear" w:color="auto" w:fill="F2F2F2" w:themeFill="background1" w:themeFillShade="F2"/>
            <w:noWrap/>
            <w:hideMark/>
          </w:tcPr>
          <w:p w14:paraId="5A04EC85"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09F28CA0"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39099597"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187D5C0E" w14:textId="77777777" w:rsidTr="00060C3E">
        <w:trPr>
          <w:trHeight w:val="300"/>
        </w:trPr>
        <w:tc>
          <w:tcPr>
            <w:tcW w:w="8982" w:type="dxa"/>
            <w:gridSpan w:val="8"/>
            <w:shd w:val="clear" w:color="auto" w:fill="D9D9D9" w:themeFill="background1" w:themeFillShade="D9"/>
            <w:noWrap/>
          </w:tcPr>
          <w:p w14:paraId="40D0774B" w14:textId="77777777" w:rsidR="004874BF" w:rsidRPr="00FB35E4" w:rsidRDefault="004874BF" w:rsidP="00964BA1">
            <w:pPr>
              <w:spacing w:after="0" w:line="240" w:lineRule="auto"/>
              <w:rPr>
                <w:b/>
                <w:color w:val="002060"/>
                <w:sz w:val="18"/>
              </w:rPr>
            </w:pPr>
            <w:r w:rsidRPr="00FB35E4">
              <w:rPr>
                <w:b/>
                <w:color w:val="002060"/>
                <w:sz w:val="18"/>
              </w:rPr>
              <w:t>SIC 7 TRANSPORT, STORAGE AND COMMUNICATION SERVICES</w:t>
            </w:r>
          </w:p>
        </w:tc>
      </w:tr>
      <w:tr w:rsidR="004874BF" w:rsidRPr="00FB35E4" w14:paraId="2AAFCBA7" w14:textId="77777777" w:rsidTr="00060C3E">
        <w:trPr>
          <w:trHeight w:val="300"/>
        </w:trPr>
        <w:tc>
          <w:tcPr>
            <w:tcW w:w="2127" w:type="dxa"/>
            <w:shd w:val="clear" w:color="auto" w:fill="F2F2F2" w:themeFill="background1" w:themeFillShade="F2"/>
            <w:noWrap/>
            <w:hideMark/>
          </w:tcPr>
          <w:p w14:paraId="1C413677" w14:textId="77777777" w:rsidR="004874BF" w:rsidRPr="00FB35E4" w:rsidRDefault="004874BF" w:rsidP="00964BA1">
            <w:pPr>
              <w:spacing w:after="0" w:line="240" w:lineRule="auto"/>
              <w:rPr>
                <w:color w:val="002060"/>
                <w:sz w:val="18"/>
              </w:rPr>
            </w:pPr>
            <w:r w:rsidRPr="00FB35E4">
              <w:rPr>
                <w:color w:val="002060"/>
                <w:sz w:val="18"/>
              </w:rPr>
              <w:t>Transport services</w:t>
            </w:r>
          </w:p>
        </w:tc>
        <w:tc>
          <w:tcPr>
            <w:tcW w:w="1134" w:type="dxa"/>
            <w:shd w:val="clear" w:color="auto" w:fill="F2F2F2" w:themeFill="background1" w:themeFillShade="F2"/>
          </w:tcPr>
          <w:p w14:paraId="0CD3419C" w14:textId="77777777" w:rsidR="004874BF" w:rsidRPr="00FB35E4" w:rsidRDefault="004874BF" w:rsidP="00964BA1">
            <w:pPr>
              <w:spacing w:after="0" w:line="240" w:lineRule="auto"/>
              <w:jc w:val="center"/>
              <w:rPr>
                <w:color w:val="002060"/>
                <w:sz w:val="18"/>
              </w:rPr>
            </w:pPr>
            <w:r w:rsidRPr="00FB35E4">
              <w:rPr>
                <w:color w:val="002060"/>
                <w:sz w:val="18"/>
              </w:rPr>
              <w:t>12 110</w:t>
            </w:r>
          </w:p>
        </w:tc>
        <w:tc>
          <w:tcPr>
            <w:tcW w:w="1026" w:type="dxa"/>
            <w:shd w:val="clear" w:color="auto" w:fill="F2F2F2" w:themeFill="background1" w:themeFillShade="F2"/>
          </w:tcPr>
          <w:p w14:paraId="1F88B100" w14:textId="77777777" w:rsidR="004874BF" w:rsidRPr="00FB35E4" w:rsidRDefault="004874BF" w:rsidP="00964BA1">
            <w:pPr>
              <w:spacing w:after="0" w:line="240" w:lineRule="auto"/>
              <w:jc w:val="center"/>
              <w:rPr>
                <w:color w:val="002060"/>
                <w:sz w:val="18"/>
              </w:rPr>
            </w:pPr>
            <w:r w:rsidRPr="00FB35E4">
              <w:rPr>
                <w:color w:val="002060"/>
                <w:sz w:val="18"/>
              </w:rPr>
              <w:t>17 034</w:t>
            </w:r>
          </w:p>
        </w:tc>
        <w:tc>
          <w:tcPr>
            <w:tcW w:w="1094" w:type="dxa"/>
            <w:shd w:val="clear" w:color="auto" w:fill="F2F2F2" w:themeFill="background1" w:themeFillShade="F2"/>
          </w:tcPr>
          <w:p w14:paraId="59FB10BC" w14:textId="77777777" w:rsidR="004874BF" w:rsidRPr="00FB35E4" w:rsidRDefault="004874BF" w:rsidP="00964BA1">
            <w:pPr>
              <w:spacing w:after="0" w:line="240" w:lineRule="auto"/>
              <w:jc w:val="center"/>
              <w:rPr>
                <w:color w:val="002060"/>
                <w:sz w:val="18"/>
              </w:rPr>
            </w:pPr>
            <w:r w:rsidRPr="00FB35E4">
              <w:rPr>
                <w:color w:val="002060"/>
                <w:sz w:val="18"/>
              </w:rPr>
              <w:t>782 716</w:t>
            </w:r>
          </w:p>
        </w:tc>
        <w:tc>
          <w:tcPr>
            <w:tcW w:w="1026" w:type="dxa"/>
            <w:shd w:val="clear" w:color="auto" w:fill="D9D9D9" w:themeFill="background1" w:themeFillShade="D9"/>
          </w:tcPr>
          <w:p w14:paraId="0FBDDDEF" w14:textId="77777777" w:rsidR="004874BF" w:rsidRPr="00553A3B" w:rsidRDefault="004874BF" w:rsidP="00964BA1">
            <w:pPr>
              <w:spacing w:after="0" w:line="240" w:lineRule="auto"/>
              <w:jc w:val="center"/>
              <w:rPr>
                <w:b/>
                <w:color w:val="002060"/>
                <w:sz w:val="18"/>
              </w:rPr>
            </w:pPr>
            <w:r w:rsidRPr="00553A3B">
              <w:rPr>
                <w:b/>
                <w:color w:val="002060"/>
                <w:sz w:val="18"/>
              </w:rPr>
              <w:t>811 860</w:t>
            </w:r>
          </w:p>
        </w:tc>
        <w:tc>
          <w:tcPr>
            <w:tcW w:w="712" w:type="dxa"/>
            <w:shd w:val="clear" w:color="auto" w:fill="F2F2F2" w:themeFill="background1" w:themeFillShade="F2"/>
            <w:noWrap/>
            <w:hideMark/>
          </w:tcPr>
          <w:p w14:paraId="01F7C0F1"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18B189FC"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6E07575F"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5EAA8416" w14:textId="77777777" w:rsidTr="00060C3E">
        <w:trPr>
          <w:trHeight w:val="300"/>
        </w:trPr>
        <w:tc>
          <w:tcPr>
            <w:tcW w:w="2127" w:type="dxa"/>
            <w:shd w:val="clear" w:color="auto" w:fill="F2F2F2" w:themeFill="background1" w:themeFillShade="F2"/>
            <w:noWrap/>
            <w:hideMark/>
          </w:tcPr>
          <w:p w14:paraId="35248E20" w14:textId="77777777" w:rsidR="004874BF" w:rsidRPr="00FB35E4" w:rsidRDefault="004874BF" w:rsidP="00964BA1">
            <w:pPr>
              <w:spacing w:after="0" w:line="240" w:lineRule="auto"/>
              <w:rPr>
                <w:color w:val="002060"/>
                <w:sz w:val="18"/>
              </w:rPr>
            </w:pPr>
            <w:r w:rsidRPr="00FB35E4">
              <w:rPr>
                <w:color w:val="002060"/>
                <w:sz w:val="18"/>
              </w:rPr>
              <w:t>Post and Tele-communication services</w:t>
            </w:r>
          </w:p>
        </w:tc>
        <w:tc>
          <w:tcPr>
            <w:tcW w:w="1134" w:type="dxa"/>
            <w:shd w:val="clear" w:color="auto" w:fill="F2F2F2" w:themeFill="background1" w:themeFillShade="F2"/>
          </w:tcPr>
          <w:p w14:paraId="566D2DE7" w14:textId="77777777" w:rsidR="004874BF" w:rsidRPr="00FB35E4" w:rsidRDefault="004874BF" w:rsidP="00964BA1">
            <w:pPr>
              <w:spacing w:after="0" w:line="240" w:lineRule="auto"/>
              <w:jc w:val="center"/>
              <w:rPr>
                <w:color w:val="002060"/>
                <w:sz w:val="18"/>
              </w:rPr>
            </w:pPr>
            <w:r w:rsidRPr="00FB35E4">
              <w:rPr>
                <w:color w:val="002060"/>
                <w:sz w:val="18"/>
              </w:rPr>
              <w:t>411</w:t>
            </w:r>
          </w:p>
        </w:tc>
        <w:tc>
          <w:tcPr>
            <w:tcW w:w="1026" w:type="dxa"/>
            <w:shd w:val="clear" w:color="auto" w:fill="F2F2F2" w:themeFill="background1" w:themeFillShade="F2"/>
          </w:tcPr>
          <w:p w14:paraId="3586CD50" w14:textId="77777777" w:rsidR="004874BF" w:rsidRPr="00FB35E4" w:rsidRDefault="004874BF" w:rsidP="00964BA1">
            <w:pPr>
              <w:spacing w:after="0" w:line="240" w:lineRule="auto"/>
              <w:jc w:val="center"/>
              <w:rPr>
                <w:color w:val="002060"/>
                <w:sz w:val="18"/>
              </w:rPr>
            </w:pPr>
            <w:r w:rsidRPr="00FB35E4">
              <w:rPr>
                <w:color w:val="002060"/>
                <w:sz w:val="18"/>
              </w:rPr>
              <w:t>578</w:t>
            </w:r>
          </w:p>
        </w:tc>
        <w:tc>
          <w:tcPr>
            <w:tcW w:w="1094" w:type="dxa"/>
            <w:shd w:val="clear" w:color="auto" w:fill="F2F2F2" w:themeFill="background1" w:themeFillShade="F2"/>
          </w:tcPr>
          <w:p w14:paraId="0F7F3A1A" w14:textId="77777777" w:rsidR="004874BF" w:rsidRPr="00FB35E4" w:rsidRDefault="004874BF" w:rsidP="00964BA1">
            <w:pPr>
              <w:spacing w:after="0" w:line="240" w:lineRule="auto"/>
              <w:jc w:val="center"/>
              <w:rPr>
                <w:color w:val="002060"/>
                <w:sz w:val="18"/>
              </w:rPr>
            </w:pPr>
            <w:r w:rsidRPr="00FB35E4">
              <w:rPr>
                <w:color w:val="002060"/>
                <w:sz w:val="18"/>
              </w:rPr>
              <w:t>26 556</w:t>
            </w:r>
          </w:p>
        </w:tc>
        <w:tc>
          <w:tcPr>
            <w:tcW w:w="1026" w:type="dxa"/>
            <w:shd w:val="clear" w:color="auto" w:fill="D9D9D9" w:themeFill="background1" w:themeFillShade="D9"/>
          </w:tcPr>
          <w:p w14:paraId="1EE4A83A" w14:textId="77777777" w:rsidR="004874BF" w:rsidRPr="00553A3B" w:rsidRDefault="004874BF" w:rsidP="00964BA1">
            <w:pPr>
              <w:spacing w:after="0" w:line="240" w:lineRule="auto"/>
              <w:jc w:val="center"/>
              <w:rPr>
                <w:b/>
                <w:color w:val="002060"/>
                <w:sz w:val="18"/>
              </w:rPr>
            </w:pPr>
            <w:r w:rsidRPr="00553A3B">
              <w:rPr>
                <w:b/>
                <w:color w:val="002060"/>
                <w:sz w:val="18"/>
              </w:rPr>
              <w:t>27 545</w:t>
            </w:r>
          </w:p>
        </w:tc>
        <w:tc>
          <w:tcPr>
            <w:tcW w:w="712" w:type="dxa"/>
            <w:shd w:val="clear" w:color="auto" w:fill="F2F2F2" w:themeFill="background1" w:themeFillShade="F2"/>
            <w:noWrap/>
            <w:hideMark/>
          </w:tcPr>
          <w:p w14:paraId="45167610"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09BC181C"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0FF5AAEA"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08B873BC" w14:textId="77777777" w:rsidTr="00060C3E">
        <w:trPr>
          <w:trHeight w:val="300"/>
        </w:trPr>
        <w:tc>
          <w:tcPr>
            <w:tcW w:w="8982" w:type="dxa"/>
            <w:gridSpan w:val="8"/>
            <w:shd w:val="clear" w:color="auto" w:fill="D9D9D9" w:themeFill="background1" w:themeFillShade="D9"/>
            <w:noWrap/>
          </w:tcPr>
          <w:p w14:paraId="4E9A18DB" w14:textId="77777777" w:rsidR="004874BF" w:rsidRPr="00FB35E4" w:rsidRDefault="004874BF" w:rsidP="00964BA1">
            <w:pPr>
              <w:spacing w:after="0" w:line="240" w:lineRule="auto"/>
              <w:rPr>
                <w:b/>
                <w:color w:val="002060"/>
                <w:sz w:val="18"/>
              </w:rPr>
            </w:pPr>
            <w:r w:rsidRPr="00FB35E4">
              <w:rPr>
                <w:b/>
                <w:color w:val="002060"/>
                <w:sz w:val="18"/>
              </w:rPr>
              <w:t>SIC 8 FINANCIAL AND BUSINESS SERVICES</w:t>
            </w:r>
          </w:p>
        </w:tc>
      </w:tr>
      <w:tr w:rsidR="004874BF" w:rsidRPr="00FB35E4" w14:paraId="6A7FF729" w14:textId="77777777" w:rsidTr="00060C3E">
        <w:trPr>
          <w:trHeight w:val="300"/>
        </w:trPr>
        <w:tc>
          <w:tcPr>
            <w:tcW w:w="2127" w:type="dxa"/>
            <w:shd w:val="clear" w:color="auto" w:fill="F2F2F2" w:themeFill="background1" w:themeFillShade="F2"/>
            <w:noWrap/>
            <w:hideMark/>
          </w:tcPr>
          <w:p w14:paraId="273CB589" w14:textId="77777777" w:rsidR="004874BF" w:rsidRPr="00FB35E4" w:rsidRDefault="004874BF" w:rsidP="00964BA1">
            <w:pPr>
              <w:spacing w:after="0" w:line="240" w:lineRule="auto"/>
              <w:rPr>
                <w:color w:val="002060"/>
                <w:sz w:val="18"/>
              </w:rPr>
            </w:pPr>
            <w:r w:rsidRPr="00FB35E4">
              <w:rPr>
                <w:color w:val="002060"/>
                <w:sz w:val="18"/>
              </w:rPr>
              <w:t>Financial services</w:t>
            </w:r>
          </w:p>
        </w:tc>
        <w:tc>
          <w:tcPr>
            <w:tcW w:w="1134" w:type="dxa"/>
            <w:shd w:val="clear" w:color="auto" w:fill="F2F2F2" w:themeFill="background1" w:themeFillShade="F2"/>
          </w:tcPr>
          <w:p w14:paraId="5F0D121F"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F2F2F2" w:themeFill="background1" w:themeFillShade="F2"/>
          </w:tcPr>
          <w:p w14:paraId="137D28CC"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94" w:type="dxa"/>
            <w:shd w:val="clear" w:color="auto" w:fill="F2F2F2" w:themeFill="background1" w:themeFillShade="F2"/>
          </w:tcPr>
          <w:p w14:paraId="4392E56A" w14:textId="77777777" w:rsidR="004874BF" w:rsidRPr="00FB35E4" w:rsidRDefault="004874BF" w:rsidP="00964BA1">
            <w:pPr>
              <w:spacing w:after="0" w:line="240" w:lineRule="auto"/>
              <w:jc w:val="center"/>
              <w:rPr>
                <w:color w:val="002060"/>
                <w:sz w:val="18"/>
              </w:rPr>
            </w:pPr>
            <w:r w:rsidRPr="00FB35E4">
              <w:rPr>
                <w:color w:val="002060"/>
                <w:sz w:val="18"/>
              </w:rPr>
              <w:t>16 391</w:t>
            </w:r>
          </w:p>
        </w:tc>
        <w:tc>
          <w:tcPr>
            <w:tcW w:w="1026" w:type="dxa"/>
            <w:shd w:val="clear" w:color="auto" w:fill="D9D9D9" w:themeFill="background1" w:themeFillShade="D9"/>
          </w:tcPr>
          <w:p w14:paraId="7577DC09" w14:textId="77777777" w:rsidR="004874BF" w:rsidRPr="00553A3B" w:rsidRDefault="004874BF" w:rsidP="00964BA1">
            <w:pPr>
              <w:spacing w:after="0" w:line="240" w:lineRule="auto"/>
              <w:jc w:val="center"/>
              <w:rPr>
                <w:b/>
                <w:color w:val="002060"/>
                <w:sz w:val="18"/>
              </w:rPr>
            </w:pPr>
            <w:r w:rsidRPr="00553A3B">
              <w:rPr>
                <w:b/>
                <w:color w:val="002060"/>
                <w:sz w:val="18"/>
              </w:rPr>
              <w:t>16 391</w:t>
            </w:r>
          </w:p>
        </w:tc>
        <w:tc>
          <w:tcPr>
            <w:tcW w:w="712" w:type="dxa"/>
            <w:shd w:val="clear" w:color="auto" w:fill="F2F2F2" w:themeFill="background1" w:themeFillShade="F2"/>
            <w:noWrap/>
            <w:hideMark/>
          </w:tcPr>
          <w:p w14:paraId="12413EE2"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6C161015"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2573E75F"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3841F3E6" w14:textId="77777777" w:rsidTr="00060C3E">
        <w:trPr>
          <w:trHeight w:val="300"/>
        </w:trPr>
        <w:tc>
          <w:tcPr>
            <w:tcW w:w="2127" w:type="dxa"/>
            <w:shd w:val="clear" w:color="auto" w:fill="F2F2F2" w:themeFill="background1" w:themeFillShade="F2"/>
            <w:noWrap/>
            <w:hideMark/>
          </w:tcPr>
          <w:p w14:paraId="4A39BCF5" w14:textId="77777777" w:rsidR="004874BF" w:rsidRPr="00FB35E4" w:rsidRDefault="004874BF" w:rsidP="00964BA1">
            <w:pPr>
              <w:spacing w:after="0" w:line="240" w:lineRule="auto"/>
              <w:rPr>
                <w:color w:val="002060"/>
                <w:sz w:val="18"/>
              </w:rPr>
            </w:pPr>
            <w:r w:rsidRPr="00FB35E4">
              <w:rPr>
                <w:color w:val="002060"/>
                <w:sz w:val="18"/>
              </w:rPr>
              <w:t>Insurance services</w:t>
            </w:r>
          </w:p>
        </w:tc>
        <w:tc>
          <w:tcPr>
            <w:tcW w:w="1134" w:type="dxa"/>
            <w:shd w:val="clear" w:color="auto" w:fill="F2F2F2" w:themeFill="background1" w:themeFillShade="F2"/>
          </w:tcPr>
          <w:p w14:paraId="2412CD69"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F2F2F2" w:themeFill="background1" w:themeFillShade="F2"/>
          </w:tcPr>
          <w:p w14:paraId="005EF6C9"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94" w:type="dxa"/>
            <w:shd w:val="clear" w:color="auto" w:fill="F2F2F2" w:themeFill="background1" w:themeFillShade="F2"/>
          </w:tcPr>
          <w:p w14:paraId="562E34FD" w14:textId="77777777" w:rsidR="004874BF" w:rsidRPr="00FB35E4" w:rsidRDefault="004874BF" w:rsidP="00964BA1">
            <w:pPr>
              <w:spacing w:after="0" w:line="240" w:lineRule="auto"/>
              <w:jc w:val="center"/>
              <w:rPr>
                <w:color w:val="002060"/>
                <w:sz w:val="18"/>
              </w:rPr>
            </w:pPr>
            <w:r w:rsidRPr="00FB35E4">
              <w:rPr>
                <w:color w:val="002060"/>
                <w:sz w:val="18"/>
              </w:rPr>
              <w:t>1 874</w:t>
            </w:r>
          </w:p>
        </w:tc>
        <w:tc>
          <w:tcPr>
            <w:tcW w:w="1026" w:type="dxa"/>
            <w:shd w:val="clear" w:color="auto" w:fill="D9D9D9" w:themeFill="background1" w:themeFillShade="D9"/>
          </w:tcPr>
          <w:p w14:paraId="45B3C20D" w14:textId="77777777" w:rsidR="004874BF" w:rsidRPr="00553A3B" w:rsidRDefault="004874BF" w:rsidP="00964BA1">
            <w:pPr>
              <w:spacing w:after="0" w:line="240" w:lineRule="auto"/>
              <w:jc w:val="center"/>
              <w:rPr>
                <w:b/>
                <w:color w:val="002060"/>
                <w:sz w:val="18"/>
              </w:rPr>
            </w:pPr>
            <w:r w:rsidRPr="00553A3B">
              <w:rPr>
                <w:b/>
                <w:color w:val="002060"/>
                <w:sz w:val="18"/>
              </w:rPr>
              <w:t>1 874</w:t>
            </w:r>
          </w:p>
        </w:tc>
        <w:tc>
          <w:tcPr>
            <w:tcW w:w="712" w:type="dxa"/>
            <w:shd w:val="clear" w:color="auto" w:fill="F2F2F2" w:themeFill="background1" w:themeFillShade="F2"/>
            <w:noWrap/>
            <w:hideMark/>
          </w:tcPr>
          <w:p w14:paraId="1C28436B"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4FAF196A"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0B6EE488"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5D0284C8" w14:textId="77777777" w:rsidTr="00060C3E">
        <w:trPr>
          <w:trHeight w:val="300"/>
        </w:trPr>
        <w:tc>
          <w:tcPr>
            <w:tcW w:w="2127" w:type="dxa"/>
            <w:shd w:val="clear" w:color="auto" w:fill="F2F2F2" w:themeFill="background1" w:themeFillShade="F2"/>
            <w:noWrap/>
            <w:hideMark/>
          </w:tcPr>
          <w:p w14:paraId="553684C3" w14:textId="77777777" w:rsidR="004874BF" w:rsidRPr="00FB35E4" w:rsidRDefault="004874BF" w:rsidP="00964BA1">
            <w:pPr>
              <w:spacing w:after="0" w:line="240" w:lineRule="auto"/>
              <w:rPr>
                <w:color w:val="002060"/>
                <w:sz w:val="18"/>
              </w:rPr>
            </w:pPr>
            <w:r w:rsidRPr="00FB35E4">
              <w:rPr>
                <w:color w:val="002060"/>
                <w:sz w:val="18"/>
              </w:rPr>
              <w:t>Other financial services</w:t>
            </w:r>
          </w:p>
        </w:tc>
        <w:tc>
          <w:tcPr>
            <w:tcW w:w="1134" w:type="dxa"/>
            <w:shd w:val="clear" w:color="auto" w:fill="F2F2F2" w:themeFill="background1" w:themeFillShade="F2"/>
          </w:tcPr>
          <w:p w14:paraId="27900E40"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F2F2F2" w:themeFill="background1" w:themeFillShade="F2"/>
          </w:tcPr>
          <w:p w14:paraId="5C7F65D2"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94" w:type="dxa"/>
            <w:shd w:val="clear" w:color="auto" w:fill="F2F2F2" w:themeFill="background1" w:themeFillShade="F2"/>
          </w:tcPr>
          <w:p w14:paraId="1E720873" w14:textId="77777777" w:rsidR="004874BF" w:rsidRPr="00FB35E4" w:rsidRDefault="004874BF" w:rsidP="00964BA1">
            <w:pPr>
              <w:spacing w:after="0" w:line="240" w:lineRule="auto"/>
              <w:jc w:val="center"/>
              <w:rPr>
                <w:color w:val="002060"/>
                <w:sz w:val="18"/>
              </w:rPr>
            </w:pPr>
            <w:r w:rsidRPr="00FB35E4">
              <w:rPr>
                <w:color w:val="002060"/>
                <w:sz w:val="18"/>
              </w:rPr>
              <w:t>978</w:t>
            </w:r>
          </w:p>
        </w:tc>
        <w:tc>
          <w:tcPr>
            <w:tcW w:w="1026" w:type="dxa"/>
            <w:shd w:val="clear" w:color="auto" w:fill="D9D9D9" w:themeFill="background1" w:themeFillShade="D9"/>
          </w:tcPr>
          <w:p w14:paraId="17BAF17B" w14:textId="77777777" w:rsidR="004874BF" w:rsidRPr="00553A3B" w:rsidRDefault="004874BF" w:rsidP="00964BA1">
            <w:pPr>
              <w:spacing w:after="0" w:line="240" w:lineRule="auto"/>
              <w:jc w:val="center"/>
              <w:rPr>
                <w:b/>
                <w:color w:val="002060"/>
                <w:sz w:val="18"/>
              </w:rPr>
            </w:pPr>
            <w:r w:rsidRPr="00553A3B">
              <w:rPr>
                <w:b/>
                <w:color w:val="002060"/>
                <w:sz w:val="18"/>
              </w:rPr>
              <w:t>978</w:t>
            </w:r>
          </w:p>
        </w:tc>
        <w:tc>
          <w:tcPr>
            <w:tcW w:w="712" w:type="dxa"/>
            <w:shd w:val="clear" w:color="auto" w:fill="F2F2F2" w:themeFill="background1" w:themeFillShade="F2"/>
            <w:noWrap/>
            <w:hideMark/>
          </w:tcPr>
          <w:p w14:paraId="79CEBD05"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0B3651A5"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3DE6DEEA"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3E374E18" w14:textId="77777777" w:rsidTr="00060C3E">
        <w:trPr>
          <w:trHeight w:val="300"/>
        </w:trPr>
        <w:tc>
          <w:tcPr>
            <w:tcW w:w="2127" w:type="dxa"/>
            <w:shd w:val="clear" w:color="auto" w:fill="F2F2F2" w:themeFill="background1" w:themeFillShade="F2"/>
            <w:noWrap/>
            <w:hideMark/>
          </w:tcPr>
          <w:p w14:paraId="44ACDB53" w14:textId="77777777" w:rsidR="004874BF" w:rsidRPr="00FB35E4" w:rsidRDefault="004874BF" w:rsidP="00964BA1">
            <w:pPr>
              <w:spacing w:after="0" w:line="240" w:lineRule="auto"/>
              <w:rPr>
                <w:color w:val="002060"/>
                <w:sz w:val="18"/>
              </w:rPr>
            </w:pPr>
            <w:r w:rsidRPr="00FB35E4">
              <w:rPr>
                <w:color w:val="002060"/>
                <w:sz w:val="18"/>
              </w:rPr>
              <w:t>Real estate</w:t>
            </w:r>
          </w:p>
        </w:tc>
        <w:tc>
          <w:tcPr>
            <w:tcW w:w="1134" w:type="dxa"/>
            <w:shd w:val="clear" w:color="auto" w:fill="F2F2F2" w:themeFill="background1" w:themeFillShade="F2"/>
          </w:tcPr>
          <w:p w14:paraId="3666E3DB"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F2F2F2" w:themeFill="background1" w:themeFillShade="F2"/>
          </w:tcPr>
          <w:p w14:paraId="24402732"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94" w:type="dxa"/>
            <w:shd w:val="clear" w:color="auto" w:fill="F2F2F2" w:themeFill="background1" w:themeFillShade="F2"/>
          </w:tcPr>
          <w:p w14:paraId="4C2C6C73" w14:textId="77777777" w:rsidR="004874BF" w:rsidRPr="00FB35E4" w:rsidRDefault="004874BF" w:rsidP="00964BA1">
            <w:pPr>
              <w:spacing w:after="0" w:line="240" w:lineRule="auto"/>
              <w:jc w:val="center"/>
              <w:rPr>
                <w:color w:val="002060"/>
                <w:sz w:val="18"/>
              </w:rPr>
            </w:pPr>
            <w:r w:rsidRPr="00FB35E4">
              <w:rPr>
                <w:color w:val="002060"/>
                <w:sz w:val="18"/>
              </w:rPr>
              <w:t>30 498</w:t>
            </w:r>
          </w:p>
        </w:tc>
        <w:tc>
          <w:tcPr>
            <w:tcW w:w="1026" w:type="dxa"/>
            <w:shd w:val="clear" w:color="auto" w:fill="D9D9D9" w:themeFill="background1" w:themeFillShade="D9"/>
          </w:tcPr>
          <w:p w14:paraId="5F4955F6" w14:textId="77777777" w:rsidR="004874BF" w:rsidRPr="00553A3B" w:rsidRDefault="004874BF" w:rsidP="00964BA1">
            <w:pPr>
              <w:spacing w:after="0" w:line="240" w:lineRule="auto"/>
              <w:jc w:val="center"/>
              <w:rPr>
                <w:b/>
                <w:color w:val="002060"/>
                <w:sz w:val="18"/>
              </w:rPr>
            </w:pPr>
            <w:r w:rsidRPr="00553A3B">
              <w:rPr>
                <w:b/>
                <w:color w:val="002060"/>
                <w:sz w:val="18"/>
              </w:rPr>
              <w:t>30 498</w:t>
            </w:r>
          </w:p>
        </w:tc>
        <w:tc>
          <w:tcPr>
            <w:tcW w:w="712" w:type="dxa"/>
            <w:shd w:val="clear" w:color="auto" w:fill="F2F2F2" w:themeFill="background1" w:themeFillShade="F2"/>
            <w:noWrap/>
            <w:hideMark/>
          </w:tcPr>
          <w:p w14:paraId="1B73A492"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3E7D4596"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66E36F72"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6B2FD9E0" w14:textId="77777777" w:rsidTr="00060C3E">
        <w:trPr>
          <w:trHeight w:val="300"/>
        </w:trPr>
        <w:tc>
          <w:tcPr>
            <w:tcW w:w="2127" w:type="dxa"/>
            <w:shd w:val="clear" w:color="auto" w:fill="F2F2F2" w:themeFill="background1" w:themeFillShade="F2"/>
            <w:noWrap/>
            <w:hideMark/>
          </w:tcPr>
          <w:p w14:paraId="6ABBB4D9" w14:textId="77777777" w:rsidR="004874BF" w:rsidRDefault="004874BF" w:rsidP="00964BA1">
            <w:pPr>
              <w:spacing w:after="0" w:line="240" w:lineRule="auto"/>
              <w:rPr>
                <w:color w:val="002060"/>
                <w:sz w:val="18"/>
              </w:rPr>
            </w:pPr>
            <w:r w:rsidRPr="00FB35E4">
              <w:rPr>
                <w:color w:val="002060"/>
                <w:sz w:val="18"/>
              </w:rPr>
              <w:t>Other business services</w:t>
            </w:r>
          </w:p>
          <w:p w14:paraId="3E15E9A2" w14:textId="77777777" w:rsidR="004874BF" w:rsidRDefault="004874BF" w:rsidP="00964BA1">
            <w:pPr>
              <w:spacing w:after="0" w:line="240" w:lineRule="auto"/>
              <w:rPr>
                <w:color w:val="002060"/>
                <w:sz w:val="18"/>
              </w:rPr>
            </w:pPr>
          </w:p>
          <w:p w14:paraId="69B0CEE8" w14:textId="77777777" w:rsidR="004874BF" w:rsidRPr="00FB35E4" w:rsidRDefault="004874BF" w:rsidP="00964BA1">
            <w:pPr>
              <w:spacing w:after="0" w:line="240" w:lineRule="auto"/>
              <w:rPr>
                <w:color w:val="002060"/>
                <w:sz w:val="18"/>
              </w:rPr>
            </w:pPr>
          </w:p>
        </w:tc>
        <w:tc>
          <w:tcPr>
            <w:tcW w:w="1134" w:type="dxa"/>
            <w:shd w:val="clear" w:color="auto" w:fill="F2F2F2" w:themeFill="background1" w:themeFillShade="F2"/>
          </w:tcPr>
          <w:p w14:paraId="3EFE7911"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26" w:type="dxa"/>
            <w:shd w:val="clear" w:color="auto" w:fill="F2F2F2" w:themeFill="background1" w:themeFillShade="F2"/>
          </w:tcPr>
          <w:p w14:paraId="43775266" w14:textId="77777777" w:rsidR="004874BF" w:rsidRPr="00FB35E4" w:rsidRDefault="004874BF" w:rsidP="00964BA1">
            <w:pPr>
              <w:spacing w:after="0" w:line="240" w:lineRule="auto"/>
              <w:jc w:val="center"/>
              <w:rPr>
                <w:color w:val="002060"/>
                <w:sz w:val="18"/>
              </w:rPr>
            </w:pPr>
            <w:r w:rsidRPr="00FB35E4">
              <w:rPr>
                <w:color w:val="002060"/>
                <w:sz w:val="18"/>
              </w:rPr>
              <w:t>-</w:t>
            </w:r>
          </w:p>
        </w:tc>
        <w:tc>
          <w:tcPr>
            <w:tcW w:w="1094" w:type="dxa"/>
            <w:shd w:val="clear" w:color="auto" w:fill="F2F2F2" w:themeFill="background1" w:themeFillShade="F2"/>
          </w:tcPr>
          <w:p w14:paraId="53A0E8FF" w14:textId="77777777" w:rsidR="004874BF" w:rsidRPr="00FB35E4" w:rsidRDefault="004874BF" w:rsidP="00964BA1">
            <w:pPr>
              <w:spacing w:after="0" w:line="240" w:lineRule="auto"/>
              <w:jc w:val="center"/>
              <w:rPr>
                <w:color w:val="002060"/>
                <w:sz w:val="18"/>
              </w:rPr>
            </w:pPr>
            <w:r w:rsidRPr="00FB35E4">
              <w:rPr>
                <w:color w:val="002060"/>
                <w:sz w:val="18"/>
              </w:rPr>
              <w:t>17 275</w:t>
            </w:r>
          </w:p>
        </w:tc>
        <w:tc>
          <w:tcPr>
            <w:tcW w:w="1026" w:type="dxa"/>
            <w:shd w:val="clear" w:color="auto" w:fill="D9D9D9" w:themeFill="background1" w:themeFillShade="D9"/>
          </w:tcPr>
          <w:p w14:paraId="5F176596" w14:textId="77777777" w:rsidR="004874BF" w:rsidRPr="00553A3B" w:rsidRDefault="004874BF" w:rsidP="00964BA1">
            <w:pPr>
              <w:spacing w:after="0" w:line="240" w:lineRule="auto"/>
              <w:jc w:val="center"/>
              <w:rPr>
                <w:b/>
                <w:color w:val="002060"/>
                <w:sz w:val="18"/>
              </w:rPr>
            </w:pPr>
            <w:r w:rsidRPr="00553A3B">
              <w:rPr>
                <w:b/>
                <w:color w:val="002060"/>
                <w:sz w:val="18"/>
              </w:rPr>
              <w:t>17 275</w:t>
            </w:r>
          </w:p>
        </w:tc>
        <w:tc>
          <w:tcPr>
            <w:tcW w:w="712" w:type="dxa"/>
            <w:shd w:val="clear" w:color="auto" w:fill="F2F2F2" w:themeFill="background1" w:themeFillShade="F2"/>
            <w:noWrap/>
            <w:hideMark/>
          </w:tcPr>
          <w:p w14:paraId="1FA11B5D"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02A37988"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547A1977"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43019F7D" w14:textId="77777777" w:rsidTr="00060C3E">
        <w:trPr>
          <w:trHeight w:val="300"/>
        </w:trPr>
        <w:tc>
          <w:tcPr>
            <w:tcW w:w="8982" w:type="dxa"/>
            <w:gridSpan w:val="8"/>
            <w:shd w:val="clear" w:color="auto" w:fill="D9D9D9" w:themeFill="background1" w:themeFillShade="D9"/>
            <w:noWrap/>
          </w:tcPr>
          <w:p w14:paraId="25C64995" w14:textId="77777777" w:rsidR="004874BF" w:rsidRPr="00FB35E4" w:rsidRDefault="004874BF" w:rsidP="00964BA1">
            <w:pPr>
              <w:spacing w:after="0" w:line="240" w:lineRule="auto"/>
              <w:rPr>
                <w:b/>
                <w:color w:val="002060"/>
                <w:sz w:val="18"/>
              </w:rPr>
            </w:pPr>
            <w:r w:rsidRPr="00FB35E4">
              <w:rPr>
                <w:b/>
                <w:color w:val="002060"/>
                <w:sz w:val="18"/>
              </w:rPr>
              <w:t>SIC 9 COMMUNITY, SOCIAL AND PERSONAL SERVICES</w:t>
            </w:r>
          </w:p>
        </w:tc>
      </w:tr>
      <w:tr w:rsidR="004874BF" w:rsidRPr="00FB35E4" w14:paraId="1FA24C2A" w14:textId="77777777" w:rsidTr="00060C3E">
        <w:trPr>
          <w:trHeight w:val="300"/>
        </w:trPr>
        <w:tc>
          <w:tcPr>
            <w:tcW w:w="2127" w:type="dxa"/>
            <w:shd w:val="clear" w:color="auto" w:fill="F2F2F2" w:themeFill="background1" w:themeFillShade="F2"/>
            <w:noWrap/>
            <w:hideMark/>
          </w:tcPr>
          <w:p w14:paraId="30504764" w14:textId="77777777" w:rsidR="004874BF" w:rsidRPr="00FB35E4" w:rsidRDefault="004874BF" w:rsidP="00964BA1">
            <w:pPr>
              <w:spacing w:after="0" w:line="240" w:lineRule="auto"/>
              <w:rPr>
                <w:color w:val="002060"/>
                <w:sz w:val="18"/>
              </w:rPr>
            </w:pPr>
            <w:r w:rsidRPr="00FB35E4">
              <w:rPr>
                <w:color w:val="002060"/>
                <w:sz w:val="18"/>
              </w:rPr>
              <w:t>General government</w:t>
            </w:r>
          </w:p>
        </w:tc>
        <w:tc>
          <w:tcPr>
            <w:tcW w:w="1134" w:type="dxa"/>
            <w:shd w:val="clear" w:color="auto" w:fill="F2F2F2" w:themeFill="background1" w:themeFillShade="F2"/>
          </w:tcPr>
          <w:p w14:paraId="12CF9E06" w14:textId="77777777" w:rsidR="004874BF" w:rsidRPr="00FB35E4" w:rsidRDefault="004874BF" w:rsidP="00964BA1">
            <w:pPr>
              <w:spacing w:after="0" w:line="240" w:lineRule="auto"/>
              <w:jc w:val="center"/>
              <w:rPr>
                <w:color w:val="002060"/>
                <w:sz w:val="18"/>
              </w:rPr>
            </w:pPr>
            <w:r w:rsidRPr="00FB35E4">
              <w:rPr>
                <w:color w:val="002060"/>
                <w:sz w:val="18"/>
              </w:rPr>
              <w:t>6 025</w:t>
            </w:r>
          </w:p>
        </w:tc>
        <w:tc>
          <w:tcPr>
            <w:tcW w:w="1026" w:type="dxa"/>
            <w:shd w:val="clear" w:color="auto" w:fill="F2F2F2" w:themeFill="background1" w:themeFillShade="F2"/>
          </w:tcPr>
          <w:p w14:paraId="41EE05BA" w14:textId="77777777" w:rsidR="004874BF" w:rsidRPr="00FB35E4" w:rsidRDefault="004874BF" w:rsidP="00964BA1">
            <w:pPr>
              <w:spacing w:after="0" w:line="240" w:lineRule="auto"/>
              <w:jc w:val="center"/>
              <w:rPr>
                <w:color w:val="002060"/>
                <w:sz w:val="18"/>
              </w:rPr>
            </w:pPr>
            <w:r w:rsidRPr="00FB35E4">
              <w:rPr>
                <w:color w:val="002060"/>
                <w:sz w:val="18"/>
              </w:rPr>
              <w:t>3 067</w:t>
            </w:r>
          </w:p>
        </w:tc>
        <w:tc>
          <w:tcPr>
            <w:tcW w:w="1094" w:type="dxa"/>
            <w:shd w:val="clear" w:color="auto" w:fill="F2F2F2" w:themeFill="background1" w:themeFillShade="F2"/>
          </w:tcPr>
          <w:p w14:paraId="635E773A" w14:textId="77777777" w:rsidR="004874BF" w:rsidRPr="00FB35E4" w:rsidRDefault="004874BF" w:rsidP="00964BA1">
            <w:pPr>
              <w:spacing w:after="0" w:line="240" w:lineRule="auto"/>
              <w:jc w:val="center"/>
              <w:rPr>
                <w:color w:val="002060"/>
                <w:sz w:val="18"/>
              </w:rPr>
            </w:pPr>
            <w:r w:rsidRPr="00FB35E4">
              <w:rPr>
                <w:color w:val="002060"/>
                <w:sz w:val="18"/>
              </w:rPr>
              <w:t>12 737</w:t>
            </w:r>
          </w:p>
        </w:tc>
        <w:tc>
          <w:tcPr>
            <w:tcW w:w="1026" w:type="dxa"/>
            <w:shd w:val="clear" w:color="auto" w:fill="D9D9D9" w:themeFill="background1" w:themeFillShade="D9"/>
          </w:tcPr>
          <w:p w14:paraId="3A10D0ED" w14:textId="77777777" w:rsidR="004874BF" w:rsidRPr="00553A3B" w:rsidRDefault="004874BF" w:rsidP="00964BA1">
            <w:pPr>
              <w:spacing w:after="0" w:line="240" w:lineRule="auto"/>
              <w:jc w:val="center"/>
              <w:rPr>
                <w:b/>
                <w:color w:val="002060"/>
                <w:sz w:val="18"/>
              </w:rPr>
            </w:pPr>
            <w:r w:rsidRPr="00553A3B">
              <w:rPr>
                <w:b/>
                <w:color w:val="002060"/>
                <w:sz w:val="18"/>
              </w:rPr>
              <w:t>21 828</w:t>
            </w:r>
          </w:p>
        </w:tc>
        <w:tc>
          <w:tcPr>
            <w:tcW w:w="712" w:type="dxa"/>
            <w:shd w:val="clear" w:color="auto" w:fill="F2F2F2" w:themeFill="background1" w:themeFillShade="F2"/>
            <w:noWrap/>
            <w:hideMark/>
          </w:tcPr>
          <w:p w14:paraId="322BDA4E"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5762C3BE"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02FC2EF6"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3575414B" w14:textId="77777777" w:rsidTr="00060C3E">
        <w:trPr>
          <w:trHeight w:val="300"/>
        </w:trPr>
        <w:tc>
          <w:tcPr>
            <w:tcW w:w="2127" w:type="dxa"/>
            <w:shd w:val="clear" w:color="auto" w:fill="F2F2F2" w:themeFill="background1" w:themeFillShade="F2"/>
            <w:noWrap/>
            <w:hideMark/>
          </w:tcPr>
          <w:p w14:paraId="3050B4F6" w14:textId="77777777" w:rsidR="004874BF" w:rsidRPr="00FB35E4" w:rsidRDefault="004874BF" w:rsidP="00964BA1">
            <w:pPr>
              <w:spacing w:after="0" w:line="240" w:lineRule="auto"/>
              <w:rPr>
                <w:color w:val="002060"/>
                <w:sz w:val="18"/>
              </w:rPr>
            </w:pPr>
            <w:r w:rsidRPr="00FB35E4">
              <w:rPr>
                <w:color w:val="002060"/>
                <w:sz w:val="18"/>
              </w:rPr>
              <w:t>Education</w:t>
            </w:r>
          </w:p>
        </w:tc>
        <w:tc>
          <w:tcPr>
            <w:tcW w:w="1134" w:type="dxa"/>
            <w:shd w:val="clear" w:color="auto" w:fill="F2F2F2" w:themeFill="background1" w:themeFillShade="F2"/>
          </w:tcPr>
          <w:p w14:paraId="233B19B6" w14:textId="77777777" w:rsidR="004874BF" w:rsidRPr="00FB35E4" w:rsidRDefault="004874BF" w:rsidP="00964BA1">
            <w:pPr>
              <w:spacing w:after="0" w:line="240" w:lineRule="auto"/>
              <w:jc w:val="center"/>
              <w:rPr>
                <w:color w:val="002060"/>
                <w:sz w:val="18"/>
              </w:rPr>
            </w:pPr>
            <w:r w:rsidRPr="00FB35E4">
              <w:rPr>
                <w:color w:val="002060"/>
                <w:sz w:val="18"/>
              </w:rPr>
              <w:t>62</w:t>
            </w:r>
          </w:p>
        </w:tc>
        <w:tc>
          <w:tcPr>
            <w:tcW w:w="1026" w:type="dxa"/>
            <w:shd w:val="clear" w:color="auto" w:fill="F2F2F2" w:themeFill="background1" w:themeFillShade="F2"/>
          </w:tcPr>
          <w:p w14:paraId="2D561484" w14:textId="77777777" w:rsidR="004874BF" w:rsidRPr="00FB35E4" w:rsidRDefault="004874BF" w:rsidP="00964BA1">
            <w:pPr>
              <w:spacing w:after="0" w:line="240" w:lineRule="auto"/>
              <w:jc w:val="center"/>
              <w:rPr>
                <w:color w:val="002060"/>
                <w:sz w:val="18"/>
              </w:rPr>
            </w:pPr>
            <w:r w:rsidRPr="00FB35E4">
              <w:rPr>
                <w:color w:val="002060"/>
                <w:sz w:val="18"/>
              </w:rPr>
              <w:t>277</w:t>
            </w:r>
          </w:p>
        </w:tc>
        <w:tc>
          <w:tcPr>
            <w:tcW w:w="1094" w:type="dxa"/>
            <w:shd w:val="clear" w:color="auto" w:fill="F2F2F2" w:themeFill="background1" w:themeFillShade="F2"/>
          </w:tcPr>
          <w:p w14:paraId="5A5DC4AC" w14:textId="77777777" w:rsidR="004874BF" w:rsidRPr="00FB35E4" w:rsidRDefault="004874BF" w:rsidP="00964BA1">
            <w:pPr>
              <w:spacing w:after="0" w:line="240" w:lineRule="auto"/>
              <w:jc w:val="center"/>
              <w:rPr>
                <w:color w:val="002060"/>
                <w:sz w:val="18"/>
              </w:rPr>
            </w:pPr>
            <w:r w:rsidRPr="00FB35E4">
              <w:rPr>
                <w:color w:val="002060"/>
                <w:sz w:val="18"/>
              </w:rPr>
              <w:t>421</w:t>
            </w:r>
          </w:p>
        </w:tc>
        <w:tc>
          <w:tcPr>
            <w:tcW w:w="1026" w:type="dxa"/>
            <w:shd w:val="clear" w:color="auto" w:fill="D9D9D9" w:themeFill="background1" w:themeFillShade="D9"/>
          </w:tcPr>
          <w:p w14:paraId="5A4EE794" w14:textId="77777777" w:rsidR="004874BF" w:rsidRPr="00553A3B" w:rsidRDefault="004874BF" w:rsidP="00964BA1">
            <w:pPr>
              <w:spacing w:after="0" w:line="240" w:lineRule="auto"/>
              <w:jc w:val="center"/>
              <w:rPr>
                <w:b/>
                <w:color w:val="002060"/>
                <w:sz w:val="18"/>
              </w:rPr>
            </w:pPr>
            <w:r w:rsidRPr="00553A3B">
              <w:rPr>
                <w:b/>
                <w:color w:val="002060"/>
                <w:sz w:val="18"/>
              </w:rPr>
              <w:t>760</w:t>
            </w:r>
          </w:p>
        </w:tc>
        <w:tc>
          <w:tcPr>
            <w:tcW w:w="712" w:type="dxa"/>
            <w:shd w:val="clear" w:color="auto" w:fill="F2F2F2" w:themeFill="background1" w:themeFillShade="F2"/>
            <w:noWrap/>
            <w:hideMark/>
          </w:tcPr>
          <w:p w14:paraId="20170497"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2E17D6F2"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639DBD55"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4C4D0EE4" w14:textId="77777777" w:rsidTr="00060C3E">
        <w:trPr>
          <w:trHeight w:val="300"/>
        </w:trPr>
        <w:tc>
          <w:tcPr>
            <w:tcW w:w="2127" w:type="dxa"/>
            <w:shd w:val="clear" w:color="auto" w:fill="F2F2F2" w:themeFill="background1" w:themeFillShade="F2"/>
            <w:noWrap/>
            <w:hideMark/>
          </w:tcPr>
          <w:p w14:paraId="6E56A4CC" w14:textId="77777777" w:rsidR="004874BF" w:rsidRPr="00FB35E4" w:rsidRDefault="004874BF" w:rsidP="00964BA1">
            <w:pPr>
              <w:spacing w:after="0" w:line="240" w:lineRule="auto"/>
              <w:rPr>
                <w:color w:val="002060"/>
                <w:sz w:val="18"/>
              </w:rPr>
            </w:pPr>
            <w:r w:rsidRPr="00FB35E4">
              <w:rPr>
                <w:color w:val="002060"/>
                <w:sz w:val="18"/>
              </w:rPr>
              <w:t>Health</w:t>
            </w:r>
          </w:p>
        </w:tc>
        <w:tc>
          <w:tcPr>
            <w:tcW w:w="1134" w:type="dxa"/>
            <w:shd w:val="clear" w:color="auto" w:fill="F2F2F2" w:themeFill="background1" w:themeFillShade="F2"/>
          </w:tcPr>
          <w:p w14:paraId="0CFD1C0D" w14:textId="77777777" w:rsidR="004874BF" w:rsidRPr="00FB35E4" w:rsidRDefault="004874BF" w:rsidP="00964BA1">
            <w:pPr>
              <w:spacing w:after="0" w:line="240" w:lineRule="auto"/>
              <w:jc w:val="center"/>
              <w:rPr>
                <w:color w:val="002060"/>
                <w:sz w:val="18"/>
              </w:rPr>
            </w:pPr>
            <w:r w:rsidRPr="00FB35E4">
              <w:rPr>
                <w:color w:val="002060"/>
                <w:sz w:val="18"/>
              </w:rPr>
              <w:t>3 109</w:t>
            </w:r>
          </w:p>
        </w:tc>
        <w:tc>
          <w:tcPr>
            <w:tcW w:w="1026" w:type="dxa"/>
            <w:shd w:val="clear" w:color="auto" w:fill="F2F2F2" w:themeFill="background1" w:themeFillShade="F2"/>
          </w:tcPr>
          <w:p w14:paraId="6529CE9A" w14:textId="77777777" w:rsidR="004874BF" w:rsidRPr="00FB35E4" w:rsidRDefault="004874BF" w:rsidP="00964BA1">
            <w:pPr>
              <w:spacing w:after="0" w:line="240" w:lineRule="auto"/>
              <w:jc w:val="center"/>
              <w:rPr>
                <w:color w:val="002060"/>
                <w:sz w:val="18"/>
              </w:rPr>
            </w:pPr>
            <w:r w:rsidRPr="00FB35E4">
              <w:rPr>
                <w:color w:val="002060"/>
                <w:sz w:val="18"/>
              </w:rPr>
              <w:t>13 873</w:t>
            </w:r>
          </w:p>
        </w:tc>
        <w:tc>
          <w:tcPr>
            <w:tcW w:w="1094" w:type="dxa"/>
            <w:shd w:val="clear" w:color="auto" w:fill="F2F2F2" w:themeFill="background1" w:themeFillShade="F2"/>
          </w:tcPr>
          <w:p w14:paraId="0FE7C669" w14:textId="77777777" w:rsidR="004874BF" w:rsidRPr="00FB35E4" w:rsidRDefault="004874BF" w:rsidP="00964BA1">
            <w:pPr>
              <w:spacing w:after="0" w:line="240" w:lineRule="auto"/>
              <w:jc w:val="center"/>
              <w:rPr>
                <w:color w:val="002060"/>
                <w:sz w:val="18"/>
              </w:rPr>
            </w:pPr>
            <w:r w:rsidRPr="00FB35E4">
              <w:rPr>
                <w:color w:val="002060"/>
                <w:sz w:val="18"/>
              </w:rPr>
              <w:t>21 013</w:t>
            </w:r>
          </w:p>
        </w:tc>
        <w:tc>
          <w:tcPr>
            <w:tcW w:w="1026" w:type="dxa"/>
            <w:shd w:val="clear" w:color="auto" w:fill="D9D9D9" w:themeFill="background1" w:themeFillShade="D9"/>
          </w:tcPr>
          <w:p w14:paraId="49B3632A" w14:textId="77777777" w:rsidR="004874BF" w:rsidRPr="00553A3B" w:rsidRDefault="004874BF" w:rsidP="00964BA1">
            <w:pPr>
              <w:spacing w:after="0" w:line="240" w:lineRule="auto"/>
              <w:jc w:val="center"/>
              <w:rPr>
                <w:b/>
                <w:color w:val="002060"/>
                <w:sz w:val="18"/>
              </w:rPr>
            </w:pPr>
            <w:r w:rsidRPr="00553A3B">
              <w:rPr>
                <w:b/>
                <w:color w:val="002060"/>
                <w:sz w:val="18"/>
              </w:rPr>
              <w:t>37 995</w:t>
            </w:r>
          </w:p>
        </w:tc>
        <w:tc>
          <w:tcPr>
            <w:tcW w:w="712" w:type="dxa"/>
            <w:shd w:val="clear" w:color="auto" w:fill="F2F2F2" w:themeFill="background1" w:themeFillShade="F2"/>
            <w:noWrap/>
            <w:hideMark/>
          </w:tcPr>
          <w:p w14:paraId="01F024DE"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74C30D9F"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79EE76B6"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587A86BF" w14:textId="77777777" w:rsidTr="00060C3E">
        <w:trPr>
          <w:trHeight w:val="300"/>
        </w:trPr>
        <w:tc>
          <w:tcPr>
            <w:tcW w:w="2127" w:type="dxa"/>
            <w:shd w:val="clear" w:color="auto" w:fill="F2F2F2" w:themeFill="background1" w:themeFillShade="F2"/>
            <w:noWrap/>
            <w:hideMark/>
          </w:tcPr>
          <w:p w14:paraId="43411486" w14:textId="77777777" w:rsidR="004874BF" w:rsidRPr="00FB35E4" w:rsidRDefault="004874BF" w:rsidP="00964BA1">
            <w:pPr>
              <w:spacing w:after="0" w:line="240" w:lineRule="auto"/>
              <w:rPr>
                <w:color w:val="002060"/>
                <w:sz w:val="18"/>
              </w:rPr>
            </w:pPr>
            <w:r w:rsidRPr="00FB35E4">
              <w:rPr>
                <w:color w:val="002060"/>
                <w:sz w:val="18"/>
              </w:rPr>
              <w:t>Other services</w:t>
            </w:r>
          </w:p>
        </w:tc>
        <w:tc>
          <w:tcPr>
            <w:tcW w:w="1134" w:type="dxa"/>
            <w:shd w:val="clear" w:color="auto" w:fill="F2F2F2" w:themeFill="background1" w:themeFillShade="F2"/>
          </w:tcPr>
          <w:p w14:paraId="32BD2E66" w14:textId="77777777" w:rsidR="004874BF" w:rsidRPr="00FB35E4" w:rsidRDefault="004874BF" w:rsidP="00964BA1">
            <w:pPr>
              <w:spacing w:after="0" w:line="240" w:lineRule="auto"/>
              <w:jc w:val="center"/>
              <w:rPr>
                <w:color w:val="002060"/>
                <w:sz w:val="18"/>
              </w:rPr>
            </w:pPr>
            <w:r w:rsidRPr="00FB35E4">
              <w:rPr>
                <w:color w:val="002060"/>
                <w:sz w:val="18"/>
              </w:rPr>
              <w:t>462</w:t>
            </w:r>
          </w:p>
        </w:tc>
        <w:tc>
          <w:tcPr>
            <w:tcW w:w="1026" w:type="dxa"/>
            <w:shd w:val="clear" w:color="auto" w:fill="F2F2F2" w:themeFill="background1" w:themeFillShade="F2"/>
          </w:tcPr>
          <w:p w14:paraId="1EA9D11B" w14:textId="77777777" w:rsidR="004874BF" w:rsidRPr="00FB35E4" w:rsidRDefault="004874BF" w:rsidP="00964BA1">
            <w:pPr>
              <w:spacing w:after="0" w:line="240" w:lineRule="auto"/>
              <w:jc w:val="center"/>
              <w:rPr>
                <w:color w:val="002060"/>
                <w:sz w:val="18"/>
              </w:rPr>
            </w:pPr>
            <w:r w:rsidRPr="00FB35E4">
              <w:rPr>
                <w:color w:val="002060"/>
                <w:sz w:val="18"/>
              </w:rPr>
              <w:t>3 916</w:t>
            </w:r>
          </w:p>
        </w:tc>
        <w:tc>
          <w:tcPr>
            <w:tcW w:w="1094" w:type="dxa"/>
            <w:shd w:val="clear" w:color="auto" w:fill="F2F2F2" w:themeFill="background1" w:themeFillShade="F2"/>
          </w:tcPr>
          <w:p w14:paraId="73C7A84F" w14:textId="77777777" w:rsidR="004874BF" w:rsidRPr="00FB35E4" w:rsidRDefault="004874BF" w:rsidP="00964BA1">
            <w:pPr>
              <w:spacing w:after="0" w:line="240" w:lineRule="auto"/>
              <w:jc w:val="center"/>
              <w:rPr>
                <w:color w:val="002060"/>
                <w:sz w:val="18"/>
              </w:rPr>
            </w:pPr>
            <w:r w:rsidRPr="00FB35E4">
              <w:rPr>
                <w:color w:val="002060"/>
                <w:sz w:val="18"/>
              </w:rPr>
              <w:t>5 962</w:t>
            </w:r>
          </w:p>
        </w:tc>
        <w:tc>
          <w:tcPr>
            <w:tcW w:w="1026" w:type="dxa"/>
            <w:shd w:val="clear" w:color="auto" w:fill="D9D9D9" w:themeFill="background1" w:themeFillShade="D9"/>
          </w:tcPr>
          <w:p w14:paraId="4D90E50C" w14:textId="77777777" w:rsidR="004874BF" w:rsidRPr="00553A3B" w:rsidRDefault="004874BF" w:rsidP="00964BA1">
            <w:pPr>
              <w:spacing w:after="0" w:line="240" w:lineRule="auto"/>
              <w:jc w:val="center"/>
              <w:rPr>
                <w:b/>
                <w:color w:val="002060"/>
                <w:sz w:val="18"/>
              </w:rPr>
            </w:pPr>
            <w:r w:rsidRPr="00553A3B">
              <w:rPr>
                <w:b/>
                <w:color w:val="002060"/>
                <w:sz w:val="18"/>
              </w:rPr>
              <w:t>10 340</w:t>
            </w:r>
          </w:p>
        </w:tc>
        <w:tc>
          <w:tcPr>
            <w:tcW w:w="712" w:type="dxa"/>
            <w:shd w:val="clear" w:color="auto" w:fill="F2F2F2" w:themeFill="background1" w:themeFillShade="F2"/>
            <w:noWrap/>
            <w:hideMark/>
          </w:tcPr>
          <w:p w14:paraId="4AAFCB0F" w14:textId="77777777" w:rsidR="004874BF" w:rsidRPr="00FB35E4" w:rsidRDefault="004874BF" w:rsidP="00964BA1">
            <w:pPr>
              <w:spacing w:after="0" w:line="240" w:lineRule="auto"/>
              <w:jc w:val="center"/>
              <w:rPr>
                <w:color w:val="002060"/>
                <w:sz w:val="18"/>
              </w:rPr>
            </w:pPr>
            <w:r w:rsidRPr="00FB35E4">
              <w:rPr>
                <w:color w:val="002060"/>
                <w:sz w:val="18"/>
              </w:rPr>
              <w:t>3 442</w:t>
            </w:r>
          </w:p>
        </w:tc>
        <w:tc>
          <w:tcPr>
            <w:tcW w:w="712" w:type="dxa"/>
            <w:shd w:val="clear" w:color="auto" w:fill="F2F2F2" w:themeFill="background1" w:themeFillShade="F2"/>
            <w:noWrap/>
            <w:hideMark/>
          </w:tcPr>
          <w:p w14:paraId="550DE626" w14:textId="77777777" w:rsidR="004874BF" w:rsidRPr="00FB35E4" w:rsidRDefault="004874BF" w:rsidP="00964BA1">
            <w:pPr>
              <w:spacing w:after="0" w:line="240" w:lineRule="auto"/>
              <w:jc w:val="center"/>
              <w:rPr>
                <w:color w:val="002060"/>
                <w:sz w:val="18"/>
              </w:rPr>
            </w:pPr>
            <w:r w:rsidRPr="00FB35E4">
              <w:rPr>
                <w:color w:val="002060"/>
                <w:sz w:val="18"/>
              </w:rPr>
              <w:t>2 294</w:t>
            </w:r>
          </w:p>
        </w:tc>
        <w:tc>
          <w:tcPr>
            <w:tcW w:w="1151" w:type="dxa"/>
            <w:shd w:val="clear" w:color="auto" w:fill="F2F2F2" w:themeFill="background1" w:themeFillShade="F2"/>
            <w:noWrap/>
            <w:hideMark/>
          </w:tcPr>
          <w:p w14:paraId="114328A2" w14:textId="77777777" w:rsidR="004874BF" w:rsidRPr="00FB35E4" w:rsidRDefault="004874BF" w:rsidP="00964BA1">
            <w:pPr>
              <w:spacing w:after="0" w:line="240" w:lineRule="auto"/>
              <w:jc w:val="center"/>
              <w:rPr>
                <w:color w:val="002060"/>
                <w:sz w:val="18"/>
              </w:rPr>
            </w:pPr>
            <w:r w:rsidRPr="00FB35E4">
              <w:rPr>
                <w:color w:val="002060"/>
                <w:sz w:val="18"/>
              </w:rPr>
              <w:t>2 612</w:t>
            </w:r>
          </w:p>
        </w:tc>
      </w:tr>
      <w:tr w:rsidR="004874BF" w:rsidRPr="00FB35E4" w14:paraId="2E06F42D" w14:textId="77777777" w:rsidTr="00060C3E">
        <w:trPr>
          <w:trHeight w:val="300"/>
        </w:trPr>
        <w:tc>
          <w:tcPr>
            <w:tcW w:w="2127" w:type="dxa"/>
            <w:shd w:val="clear" w:color="auto" w:fill="D9D9D9" w:themeFill="background1" w:themeFillShade="D9"/>
            <w:noWrap/>
          </w:tcPr>
          <w:p w14:paraId="6F903A8E" w14:textId="77777777" w:rsidR="004874BF" w:rsidRPr="00FB35E4" w:rsidRDefault="004874BF" w:rsidP="00964BA1">
            <w:pPr>
              <w:spacing w:after="0" w:line="240" w:lineRule="auto"/>
              <w:rPr>
                <w:b/>
                <w:color w:val="002060"/>
                <w:sz w:val="18"/>
              </w:rPr>
            </w:pPr>
            <w:r w:rsidRPr="00FB35E4">
              <w:rPr>
                <w:b/>
                <w:color w:val="002060"/>
                <w:sz w:val="18"/>
              </w:rPr>
              <w:t>Total</w:t>
            </w:r>
          </w:p>
        </w:tc>
        <w:tc>
          <w:tcPr>
            <w:tcW w:w="1134" w:type="dxa"/>
            <w:shd w:val="clear" w:color="auto" w:fill="D9D9D9" w:themeFill="background1" w:themeFillShade="D9"/>
          </w:tcPr>
          <w:p w14:paraId="0B234C61" w14:textId="77777777" w:rsidR="004874BF" w:rsidRPr="00FB35E4" w:rsidRDefault="004874BF" w:rsidP="00964BA1">
            <w:pPr>
              <w:spacing w:after="0" w:line="240" w:lineRule="auto"/>
              <w:jc w:val="center"/>
              <w:rPr>
                <w:b/>
                <w:color w:val="002060"/>
                <w:sz w:val="18"/>
              </w:rPr>
            </w:pPr>
            <w:r w:rsidRPr="00FB35E4">
              <w:rPr>
                <w:b/>
                <w:color w:val="002060"/>
                <w:sz w:val="18"/>
              </w:rPr>
              <w:t>1 804 330</w:t>
            </w:r>
          </w:p>
        </w:tc>
        <w:tc>
          <w:tcPr>
            <w:tcW w:w="1026" w:type="dxa"/>
            <w:shd w:val="clear" w:color="auto" w:fill="D9D9D9" w:themeFill="background1" w:themeFillShade="D9"/>
          </w:tcPr>
          <w:p w14:paraId="6435E334" w14:textId="77777777" w:rsidR="004874BF" w:rsidRPr="00FB35E4" w:rsidRDefault="004874BF" w:rsidP="00964BA1">
            <w:pPr>
              <w:spacing w:after="0" w:line="240" w:lineRule="auto"/>
              <w:jc w:val="center"/>
              <w:rPr>
                <w:b/>
                <w:color w:val="002060"/>
                <w:sz w:val="18"/>
              </w:rPr>
            </w:pPr>
            <w:r w:rsidRPr="00FB35E4">
              <w:rPr>
                <w:b/>
                <w:color w:val="002060"/>
                <w:sz w:val="18"/>
              </w:rPr>
              <w:t>2 055 578</w:t>
            </w:r>
          </w:p>
        </w:tc>
        <w:tc>
          <w:tcPr>
            <w:tcW w:w="1094" w:type="dxa"/>
            <w:shd w:val="clear" w:color="auto" w:fill="D9D9D9" w:themeFill="background1" w:themeFillShade="D9"/>
          </w:tcPr>
          <w:p w14:paraId="025A240D" w14:textId="77777777" w:rsidR="004874BF" w:rsidRPr="00FB35E4" w:rsidRDefault="004874BF" w:rsidP="00964BA1">
            <w:pPr>
              <w:spacing w:after="0" w:line="240" w:lineRule="auto"/>
              <w:jc w:val="center"/>
              <w:rPr>
                <w:b/>
                <w:color w:val="002060"/>
                <w:sz w:val="18"/>
              </w:rPr>
            </w:pPr>
            <w:r w:rsidRPr="00FB35E4">
              <w:rPr>
                <w:b/>
                <w:color w:val="002060"/>
                <w:sz w:val="18"/>
              </w:rPr>
              <w:t>1 607 768</w:t>
            </w:r>
          </w:p>
        </w:tc>
        <w:tc>
          <w:tcPr>
            <w:tcW w:w="1026" w:type="dxa"/>
            <w:shd w:val="clear" w:color="auto" w:fill="D9D9D9" w:themeFill="background1" w:themeFillShade="D9"/>
          </w:tcPr>
          <w:p w14:paraId="5725B840" w14:textId="77777777" w:rsidR="004874BF" w:rsidRPr="00FB35E4" w:rsidRDefault="004874BF" w:rsidP="00964BA1">
            <w:pPr>
              <w:spacing w:after="0" w:line="240" w:lineRule="auto"/>
              <w:jc w:val="center"/>
              <w:rPr>
                <w:b/>
                <w:color w:val="002060"/>
                <w:sz w:val="18"/>
              </w:rPr>
            </w:pPr>
            <w:r w:rsidRPr="00FB35E4">
              <w:rPr>
                <w:b/>
                <w:color w:val="002060"/>
                <w:sz w:val="18"/>
              </w:rPr>
              <w:t>5 467 676</w:t>
            </w:r>
          </w:p>
        </w:tc>
        <w:tc>
          <w:tcPr>
            <w:tcW w:w="712" w:type="dxa"/>
            <w:shd w:val="clear" w:color="auto" w:fill="D9D9D9" w:themeFill="background1" w:themeFillShade="D9"/>
            <w:noWrap/>
          </w:tcPr>
          <w:p w14:paraId="5D1A4B90" w14:textId="77777777" w:rsidR="004874BF" w:rsidRPr="00FB35E4" w:rsidRDefault="004874BF" w:rsidP="00964BA1">
            <w:pPr>
              <w:spacing w:after="0" w:line="240" w:lineRule="auto"/>
              <w:jc w:val="center"/>
              <w:rPr>
                <w:b/>
                <w:color w:val="002060"/>
                <w:sz w:val="18"/>
              </w:rPr>
            </w:pPr>
          </w:p>
        </w:tc>
        <w:tc>
          <w:tcPr>
            <w:tcW w:w="712" w:type="dxa"/>
            <w:shd w:val="clear" w:color="auto" w:fill="D9D9D9" w:themeFill="background1" w:themeFillShade="D9"/>
            <w:noWrap/>
          </w:tcPr>
          <w:p w14:paraId="54D1BBC3" w14:textId="77777777" w:rsidR="004874BF" w:rsidRPr="00FB35E4" w:rsidRDefault="004874BF" w:rsidP="00964BA1">
            <w:pPr>
              <w:spacing w:after="0" w:line="240" w:lineRule="auto"/>
              <w:jc w:val="center"/>
              <w:rPr>
                <w:b/>
                <w:color w:val="002060"/>
                <w:sz w:val="18"/>
              </w:rPr>
            </w:pPr>
          </w:p>
        </w:tc>
        <w:tc>
          <w:tcPr>
            <w:tcW w:w="1151" w:type="dxa"/>
            <w:shd w:val="clear" w:color="auto" w:fill="D9D9D9" w:themeFill="background1" w:themeFillShade="D9"/>
            <w:noWrap/>
          </w:tcPr>
          <w:p w14:paraId="0D1D09A0" w14:textId="77777777" w:rsidR="004874BF" w:rsidRPr="00FB35E4" w:rsidRDefault="004874BF" w:rsidP="00964BA1">
            <w:pPr>
              <w:spacing w:after="0" w:line="240" w:lineRule="auto"/>
              <w:jc w:val="center"/>
              <w:rPr>
                <w:b/>
                <w:color w:val="002060"/>
                <w:sz w:val="18"/>
              </w:rPr>
            </w:pPr>
          </w:p>
        </w:tc>
      </w:tr>
    </w:tbl>
    <w:p w14:paraId="5BD22CE6" w14:textId="77777777" w:rsidR="004874BF" w:rsidRDefault="004874BF" w:rsidP="004874BF"/>
    <w:p w14:paraId="2911697E" w14:textId="77777777" w:rsidR="004874BF" w:rsidRDefault="004874BF" w:rsidP="004874BF">
      <w:pPr>
        <w:rPr>
          <w:rFonts w:ascii="Arial" w:hAnsi="Arial"/>
          <w:b/>
          <w:sz w:val="28"/>
          <w:szCs w:val="28"/>
        </w:rPr>
      </w:pPr>
    </w:p>
    <w:p w14:paraId="1C08DCDE" w14:textId="77777777" w:rsidR="004874BF" w:rsidRPr="008B612B" w:rsidRDefault="004874BF" w:rsidP="004874BF">
      <w:pPr>
        <w:rPr>
          <w:rFonts w:ascii="Arial" w:hAnsi="Arial"/>
          <w:b/>
          <w:sz w:val="28"/>
          <w:szCs w:val="28"/>
        </w:rPr>
        <w:sectPr w:rsidR="004874BF" w:rsidRPr="008B612B" w:rsidSect="00060C3E">
          <w:pgSz w:w="11900" w:h="16820"/>
          <w:pgMar w:top="1440" w:right="1134" w:bottom="1440" w:left="1134" w:header="706" w:footer="387" w:gutter="0"/>
          <w:cols w:space="708"/>
          <w:titlePg/>
          <w:docGrid w:linePitch="360"/>
        </w:sectPr>
      </w:pPr>
    </w:p>
    <w:p w14:paraId="1B0DFF2D" w14:textId="77777777" w:rsidR="004874BF" w:rsidRPr="008B612B" w:rsidRDefault="004874BF" w:rsidP="004874BF">
      <w:pPr>
        <w:spacing w:line="360" w:lineRule="auto"/>
        <w:ind w:firstLine="400"/>
        <w:rPr>
          <w:rFonts w:ascii="Arial" w:hAnsi="Arial" w:cs="Arial"/>
          <w:b/>
        </w:rPr>
      </w:pPr>
      <w:r>
        <w:rPr>
          <w:rFonts w:ascii="Arial" w:hAnsi="Arial" w:cs="Arial"/>
          <w:b/>
        </w:rPr>
        <w:lastRenderedPageBreak/>
        <w:t xml:space="preserve">Appendix B: Nested production structure in modified </w:t>
      </w:r>
      <w:r w:rsidRPr="008B612B">
        <w:rPr>
          <w:rFonts w:ascii="Arial" w:hAnsi="Arial" w:cs="Arial"/>
          <w:b/>
        </w:rPr>
        <w:t xml:space="preserve">UPGEM </w:t>
      </w:r>
    </w:p>
    <w:p w14:paraId="0303229D" w14:textId="77777777" w:rsidR="004874BF" w:rsidRPr="008B612B" w:rsidRDefault="004874BF" w:rsidP="004874BF">
      <w:pPr>
        <w:spacing w:line="360" w:lineRule="auto"/>
        <w:rPr>
          <w:rFonts w:ascii="Arial" w:hAnsi="Arial" w:cs="Arial"/>
          <w:b/>
        </w:rPr>
      </w:pPr>
    </w:p>
    <w:p w14:paraId="2A539C88" w14:textId="77777777" w:rsidR="004874BF" w:rsidRPr="008B612B" w:rsidRDefault="004874BF" w:rsidP="004874BF">
      <w:pPr>
        <w:spacing w:line="360" w:lineRule="auto"/>
        <w:ind w:firstLine="567"/>
        <w:rPr>
          <w:rFonts w:ascii="Arial" w:hAnsi="Arial"/>
        </w:rPr>
      </w:pPr>
      <w:r>
        <w:rPr>
          <w:noProof/>
          <w:lang w:eastAsia="en-ZA"/>
        </w:rPr>
        <mc:AlternateContent>
          <mc:Choice Requires="wpg">
            <w:drawing>
              <wp:anchor distT="0" distB="0" distL="114300" distR="114300" simplePos="0" relativeHeight="251659264" behindDoc="0" locked="0" layoutInCell="1" allowOverlap="1" wp14:anchorId="69039E14" wp14:editId="4AD45908">
                <wp:simplePos x="0" y="0"/>
                <wp:positionH relativeFrom="column">
                  <wp:posOffset>473106</wp:posOffset>
                </wp:positionH>
                <wp:positionV relativeFrom="paragraph">
                  <wp:posOffset>27940</wp:posOffset>
                </wp:positionV>
                <wp:extent cx="4785360" cy="3849370"/>
                <wp:effectExtent l="0" t="0" r="15240" b="1778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85360" cy="3849370"/>
                          <a:chOff x="0" y="0"/>
                          <a:chExt cx="4785216" cy="3849514"/>
                        </a:xfrm>
                      </wpg:grpSpPr>
                      <wps:wsp>
                        <wps:cNvPr id="72" name="AutoShape 31"/>
                        <wps:cNvCnPr>
                          <a:cxnSpLocks noChangeShapeType="1"/>
                        </wps:cNvCnPr>
                        <wps:spPr bwMode="auto">
                          <a:xfrm>
                            <a:off x="3441940" y="3148642"/>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33"/>
                        <wps:cNvCnPr/>
                        <wps:spPr bwMode="auto">
                          <a:xfrm>
                            <a:off x="3916393" y="3001993"/>
                            <a:ext cx="0" cy="14680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4" name="AutoShape 31"/>
                        <wps:cNvCnPr>
                          <a:cxnSpLocks noChangeShapeType="1"/>
                        </wps:cNvCnPr>
                        <wps:spPr bwMode="auto">
                          <a:xfrm>
                            <a:off x="4330460" y="3148642"/>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5" name="Group 75"/>
                        <wpg:cNvGrpSpPr/>
                        <wpg:grpSpPr>
                          <a:xfrm>
                            <a:off x="0" y="0"/>
                            <a:ext cx="4785216" cy="3849514"/>
                            <a:chOff x="0" y="0"/>
                            <a:chExt cx="4785216" cy="3849514"/>
                          </a:xfrm>
                        </wpg:grpSpPr>
                        <wps:wsp>
                          <wps:cNvPr id="76" name="Line 30"/>
                          <wps:cNvCnPr/>
                          <wps:spPr bwMode="auto">
                            <a:xfrm>
                              <a:off x="3329796" y="2053087"/>
                              <a:ext cx="1172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31"/>
                          <wps:cNvCnPr>
                            <a:cxnSpLocks noChangeShapeType="1"/>
                          </wps:cNvCnPr>
                          <wps:spPr bwMode="auto">
                            <a:xfrm>
                              <a:off x="3329796" y="2053087"/>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33"/>
                          <wps:cNvCnPr/>
                          <wps:spPr bwMode="auto">
                            <a:xfrm>
                              <a:off x="3916393" y="1932317"/>
                              <a:ext cx="0" cy="1498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9" name="AutoShape 31"/>
                          <wps:cNvCnPr>
                            <a:cxnSpLocks noChangeShapeType="1"/>
                          </wps:cNvCnPr>
                          <wps:spPr bwMode="auto">
                            <a:xfrm>
                              <a:off x="4494362" y="2053087"/>
                              <a:ext cx="0" cy="176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31"/>
                          <wps:cNvCnPr>
                            <a:cxnSpLocks noChangeShapeType="1"/>
                          </wps:cNvCnPr>
                          <wps:spPr bwMode="auto">
                            <a:xfrm>
                              <a:off x="3916393" y="2044461"/>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1" name="Group 81"/>
                          <wpg:cNvGrpSpPr/>
                          <wpg:grpSpPr>
                            <a:xfrm>
                              <a:off x="0" y="0"/>
                              <a:ext cx="4785216" cy="3849514"/>
                              <a:chOff x="0" y="0"/>
                              <a:chExt cx="4785216" cy="3849514"/>
                            </a:xfrm>
                          </wpg:grpSpPr>
                          <wps:wsp>
                            <wps:cNvPr id="82" name="Line 33"/>
                            <wps:cNvCnPr/>
                            <wps:spPr bwMode="auto">
                              <a:xfrm>
                                <a:off x="3916393" y="1440612"/>
                                <a:ext cx="344" cy="1332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3" name="Line 33"/>
                            <wps:cNvCnPr/>
                            <wps:spPr bwMode="auto">
                              <a:xfrm>
                                <a:off x="2889849" y="1431985"/>
                                <a:ext cx="0" cy="14097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85" name="Group 85"/>
                            <wpg:cNvGrpSpPr/>
                            <wpg:grpSpPr>
                              <a:xfrm>
                                <a:off x="0" y="0"/>
                                <a:ext cx="4785216" cy="3849514"/>
                                <a:chOff x="0" y="0"/>
                                <a:chExt cx="4785216" cy="3849514"/>
                              </a:xfrm>
                            </wpg:grpSpPr>
                            <wps:wsp>
                              <wps:cNvPr id="86" name="Line 25"/>
                              <wps:cNvCnPr/>
                              <wps:spPr bwMode="auto">
                                <a:xfrm>
                                  <a:off x="2889849" y="1518250"/>
                                  <a:ext cx="0" cy="1194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25"/>
                              <wps:cNvCnPr/>
                              <wps:spPr bwMode="auto">
                                <a:xfrm rot="10800000" flipV="1">
                                  <a:off x="2277374" y="2717321"/>
                                  <a:ext cx="614045" cy="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25"/>
                              <wps:cNvCnPr/>
                              <wps:spPr bwMode="auto">
                                <a:xfrm>
                                  <a:off x="2277374" y="2717321"/>
                                  <a:ext cx="0" cy="142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3"/>
                              <wps:cNvCnPr/>
                              <wps:spPr bwMode="auto">
                                <a:xfrm>
                                  <a:off x="2277374" y="3217653"/>
                                  <a:ext cx="0" cy="14680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0" name="AutoShape 31"/>
                              <wps:cNvCnPr>
                                <a:cxnSpLocks noChangeShapeType="1"/>
                              </wps:cNvCnPr>
                              <wps:spPr bwMode="auto">
                                <a:xfrm>
                                  <a:off x="1923691" y="3372929"/>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31"/>
                              <wps:cNvCnPr>
                                <a:cxnSpLocks noChangeShapeType="1"/>
                              </wps:cNvCnPr>
                              <wps:spPr bwMode="auto">
                                <a:xfrm>
                                  <a:off x="2639683" y="3364302"/>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2" name="Group 92"/>
                              <wpg:cNvGrpSpPr/>
                              <wpg:grpSpPr>
                                <a:xfrm>
                                  <a:off x="0" y="0"/>
                                  <a:ext cx="4785216" cy="3849514"/>
                                  <a:chOff x="0" y="0"/>
                                  <a:chExt cx="4785216" cy="3849514"/>
                                </a:xfrm>
                              </wpg:grpSpPr>
                              <wps:wsp>
                                <wps:cNvPr id="93" name="Line 9"/>
                                <wps:cNvCnPr/>
                                <wps:spPr bwMode="auto">
                                  <a:xfrm flipV="1">
                                    <a:off x="2346385" y="845389"/>
                                    <a:ext cx="0" cy="1300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22"/>
                                <wps:cNvCnPr/>
                                <wps:spPr bwMode="auto">
                                  <a:xfrm>
                                    <a:off x="655608" y="983412"/>
                                    <a:ext cx="325945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5"/>
                                <wps:cNvCnPr/>
                                <wps:spPr bwMode="auto">
                                  <a:xfrm>
                                    <a:off x="2027208" y="983412"/>
                                    <a:ext cx="0" cy="150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25"/>
                                <wps:cNvCnPr/>
                                <wps:spPr bwMode="auto">
                                  <a:xfrm>
                                    <a:off x="3916393" y="992038"/>
                                    <a:ext cx="0" cy="13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25"/>
                                <wps:cNvCnPr/>
                                <wps:spPr bwMode="auto">
                                  <a:xfrm>
                                    <a:off x="655608" y="983412"/>
                                    <a:ext cx="0" cy="142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9" name="Group 99"/>
                                <wpg:cNvGrpSpPr/>
                                <wpg:grpSpPr>
                                  <a:xfrm>
                                    <a:off x="0" y="0"/>
                                    <a:ext cx="4785216" cy="3849514"/>
                                    <a:chOff x="0" y="0"/>
                                    <a:chExt cx="4785216" cy="3849514"/>
                                  </a:xfrm>
                                </wpg:grpSpPr>
                                <wps:wsp>
                                  <wps:cNvPr id="100" name="Text Box 19"/>
                                  <wps:cNvSpPr txBox="1">
                                    <a:spLocks noChangeArrowheads="1"/>
                                  </wps:cNvSpPr>
                                  <wps:spPr bwMode="auto">
                                    <a:xfrm>
                                      <a:off x="103517" y="2812212"/>
                                      <a:ext cx="1248410" cy="933234"/>
                                    </a:xfrm>
                                    <a:prstGeom prst="rect">
                                      <a:avLst/>
                                    </a:prstGeom>
                                    <a:solidFill>
                                      <a:srgbClr val="FFFFFF"/>
                                    </a:solidFill>
                                    <a:ln w="9525">
                                      <a:solidFill>
                                        <a:srgbClr val="000000"/>
                                      </a:solidFill>
                                      <a:miter lim="800000"/>
                                      <a:headEnd/>
                                      <a:tailEnd/>
                                    </a:ln>
                                  </wps:spPr>
                                  <wps:txbx>
                                    <w:txbxContent>
                                      <w:p w14:paraId="7137E071" w14:textId="77777777" w:rsidR="00345FC9" w:rsidRPr="00CD456B" w:rsidRDefault="00345FC9" w:rsidP="004874BF">
                                        <w:pPr>
                                          <w:jc w:val="center"/>
                                          <w:rPr>
                                            <w:rFonts w:ascii="Bookman Old Style" w:hAnsi="Bookman Old Style"/>
                                            <w:sz w:val="12"/>
                                            <w:szCs w:val="12"/>
                                          </w:rPr>
                                        </w:pPr>
                                        <w:r w:rsidRPr="00CD456B">
                                          <w:rPr>
                                            <w:rFonts w:ascii="Bookman Old Style" w:hAnsi="Bookman Old Style"/>
                                            <w:noProof/>
                                            <w:sz w:val="12"/>
                                            <w:szCs w:val="12"/>
                                            <w:lang w:eastAsia="en-ZA"/>
                                          </w:rPr>
                                          <w:drawing>
                                            <wp:inline distT="0" distB="0" distL="0" distR="0" wp14:anchorId="7247973E" wp14:editId="3F821B16">
                                              <wp:extent cx="782658" cy="4068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7869" cy="409575"/>
                                                      </a:xfrm>
                                                      <a:prstGeom prst="rect">
                                                        <a:avLst/>
                                                      </a:prstGeom>
                                                      <a:noFill/>
                                                      <a:ln>
                                                        <a:noFill/>
                                                      </a:ln>
                                                    </pic:spPr>
                                                  </pic:pic>
                                                </a:graphicData>
                                              </a:graphic>
                                            </wp:inline>
                                          </w:drawing>
                                        </w:r>
                                      </w:p>
                                      <w:p w14:paraId="07AA3ACD" w14:textId="77777777" w:rsidR="00345FC9" w:rsidRPr="00EB0792" w:rsidRDefault="00345FC9" w:rsidP="004874BF">
                                        <w:pPr>
                                          <w:ind w:left="-142"/>
                                          <w:jc w:val="center"/>
                                          <w:rPr>
                                            <w:sz w:val="12"/>
                                            <w:szCs w:val="12"/>
                                          </w:rPr>
                                        </w:pPr>
                                        <w:r>
                                          <w:rPr>
                                            <w:noProof/>
                                            <w:sz w:val="12"/>
                                            <w:szCs w:val="12"/>
                                            <w:lang w:eastAsia="en-ZA"/>
                                          </w:rPr>
                                          <w:t xml:space="preserve">     </w:t>
                                        </w:r>
                                      </w:p>
                                      <w:p w14:paraId="289E85BE" w14:textId="77777777" w:rsidR="00345FC9" w:rsidRPr="00EB0792" w:rsidRDefault="00345FC9" w:rsidP="004874BF">
                                        <w:pPr>
                                          <w:jc w:val="center"/>
                                          <w:rPr>
                                            <w:sz w:val="12"/>
                                            <w:szCs w:val="12"/>
                                          </w:rPr>
                                        </w:pPr>
                                      </w:p>
                                    </w:txbxContent>
                                  </wps:txbx>
                                  <wps:bodyPr rot="0" vert="horz" wrap="square" lIns="91440" tIns="45720" rIns="91440" bIns="45720" anchor="t" anchorCtr="0" upright="1">
                                    <a:noAutofit/>
                                  </wps:bodyPr>
                                </wps:wsp>
                                <wps:wsp>
                                  <wps:cNvPr id="101" name="AutoShape 5"/>
                                  <wps:cNvSpPr>
                                    <a:spLocks noChangeArrowheads="1"/>
                                  </wps:cNvSpPr>
                                  <wps:spPr bwMode="auto">
                                    <a:xfrm>
                                      <a:off x="1699404" y="0"/>
                                      <a:ext cx="1257935" cy="344572"/>
                                    </a:xfrm>
                                    <a:prstGeom prst="flowChartAlternateProcess">
                                      <a:avLst/>
                                    </a:prstGeom>
                                    <a:solidFill>
                                      <a:srgbClr val="FFFFFF"/>
                                    </a:solidFill>
                                    <a:ln w="9525">
                                      <a:solidFill>
                                        <a:srgbClr val="000000"/>
                                      </a:solidFill>
                                      <a:miter lim="800000"/>
                                      <a:headEnd/>
                                      <a:tailEnd/>
                                    </a:ln>
                                  </wps:spPr>
                                  <wps:txbx>
                                    <w:txbxContent>
                                      <w:p w14:paraId="4129DC4C" w14:textId="77777777" w:rsidR="00345FC9" w:rsidRPr="00EB0792" w:rsidRDefault="00345FC9" w:rsidP="004874BF">
                                        <w:pPr>
                                          <w:pStyle w:val="BalloonText"/>
                                          <w:keepNext/>
                                          <w:keepLines/>
                                          <w:spacing w:line="288" w:lineRule="auto"/>
                                          <w:jc w:val="center"/>
                                          <w:rPr>
                                            <w:rFonts w:ascii="Bookman Old Style" w:hAnsi="Bookman Old Style"/>
                                            <w:sz w:val="12"/>
                                            <w:szCs w:val="12"/>
                                          </w:rPr>
                                        </w:pPr>
                                        <w:r>
                                          <w:rPr>
                                            <w:rFonts w:ascii="Bookman Old Style" w:hAnsi="Bookman Old Style"/>
                                            <w:sz w:val="12"/>
                                            <w:szCs w:val="12"/>
                                          </w:rPr>
                                          <w:t>Industry output in modified UPGEM</w:t>
                                        </w:r>
                                      </w:p>
                                    </w:txbxContent>
                                  </wps:txbx>
                                  <wps:bodyPr rot="0" vert="horz" wrap="square" lIns="91440" tIns="45720" rIns="91440" bIns="45720" anchor="t" anchorCtr="0" upright="1">
                                    <a:noAutofit/>
                                  </wps:bodyPr>
                                </wps:wsp>
                                <wps:wsp>
                                  <wps:cNvPr id="102" name="Text Box 4"/>
                                  <wps:cNvSpPr txBox="1">
                                    <a:spLocks noChangeArrowheads="1"/>
                                  </wps:cNvSpPr>
                                  <wps:spPr bwMode="auto">
                                    <a:xfrm>
                                      <a:off x="1104181" y="1173193"/>
                                      <a:ext cx="524312"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D6576" w14:textId="77777777" w:rsidR="00345FC9" w:rsidRPr="00EB0792" w:rsidRDefault="00345FC9" w:rsidP="004874BF">
                                        <w:pPr>
                                          <w:pStyle w:val="BalloonText"/>
                                          <w:keepNext/>
                                          <w:keepLines/>
                                          <w:rPr>
                                            <w:rFonts w:ascii="Bookman Old Style" w:hAnsi="Bookman Old Style"/>
                                            <w:sz w:val="12"/>
                                            <w:szCs w:val="12"/>
                                          </w:rPr>
                                        </w:pPr>
                                        <w:r w:rsidRPr="00EB0792">
                                          <w:rPr>
                                            <w:rFonts w:ascii="Bookman Old Style" w:hAnsi="Bookman Old Style"/>
                                            <w:sz w:val="12"/>
                                            <w:szCs w:val="12"/>
                                          </w:rPr>
                                          <w:t>--</w:t>
                                        </w:r>
                                        <w:proofErr w:type="gramStart"/>
                                        <w:r w:rsidRPr="00EB0792">
                                          <w:rPr>
                                            <w:rFonts w:ascii="Bookman Old Style" w:hAnsi="Bookman Old Style"/>
                                            <w:sz w:val="12"/>
                                            <w:szCs w:val="12"/>
                                          </w:rPr>
                                          <w:t>up</w:t>
                                        </w:r>
                                        <w:proofErr w:type="gramEnd"/>
                                        <w:r w:rsidRPr="00EB0792">
                                          <w:rPr>
                                            <w:rFonts w:ascii="Bookman Old Style" w:hAnsi="Bookman Old Style"/>
                                            <w:sz w:val="12"/>
                                            <w:szCs w:val="12"/>
                                          </w:rPr>
                                          <w:t xml:space="preserve"> to--</w:t>
                                        </w:r>
                                      </w:p>
                                    </w:txbxContent>
                                  </wps:txbx>
                                  <wps:bodyPr rot="0" vert="horz" wrap="square" lIns="91440" tIns="45720" rIns="91440" bIns="45720" anchor="t" anchorCtr="0" upright="1">
                                    <a:noAutofit/>
                                  </wps:bodyPr>
                                </wps:wsp>
                                <wps:wsp>
                                  <wps:cNvPr id="103" name="AutoShape 8"/>
                                  <wps:cNvSpPr>
                                    <a:spLocks noChangeArrowheads="1"/>
                                  </wps:cNvSpPr>
                                  <wps:spPr bwMode="auto">
                                    <a:xfrm>
                                      <a:off x="215660" y="1121434"/>
                                      <a:ext cx="889000" cy="307072"/>
                                    </a:xfrm>
                                    <a:prstGeom prst="flowChartAlternateProcess">
                                      <a:avLst/>
                                    </a:prstGeom>
                                    <a:solidFill>
                                      <a:srgbClr val="FFFFFF"/>
                                    </a:solidFill>
                                    <a:ln w="9525">
                                      <a:solidFill>
                                        <a:srgbClr val="000000"/>
                                      </a:solidFill>
                                      <a:miter lim="800000"/>
                                      <a:headEnd/>
                                      <a:tailEnd/>
                                    </a:ln>
                                  </wps:spPr>
                                  <wps:txbx>
                                    <w:txbxContent>
                                      <w:p w14:paraId="7D52B4E8" w14:textId="77777777" w:rsidR="00345FC9" w:rsidRDefault="00345FC9" w:rsidP="004874BF">
                                        <w:pPr>
                                          <w:pStyle w:val="BalloonText"/>
                                          <w:keepNext/>
                                          <w:keepLines/>
                                          <w:jc w:val="center"/>
                                          <w:rPr>
                                            <w:rFonts w:ascii="Bookman Old Style" w:hAnsi="Bookman Old Style"/>
                                            <w:sz w:val="12"/>
                                            <w:szCs w:val="12"/>
                                          </w:rPr>
                                        </w:pPr>
                                        <w:r w:rsidRPr="00EB0792">
                                          <w:rPr>
                                            <w:rFonts w:ascii="Bookman Old Style" w:hAnsi="Bookman Old Style"/>
                                            <w:sz w:val="12"/>
                                            <w:szCs w:val="12"/>
                                          </w:rPr>
                                          <w:t>Intermediate</w:t>
                                        </w:r>
                                      </w:p>
                                      <w:p w14:paraId="68F3293B" w14:textId="77777777" w:rsidR="00345FC9" w:rsidRPr="00EB0792" w:rsidRDefault="00345FC9" w:rsidP="004874BF">
                                        <w:pPr>
                                          <w:pStyle w:val="BalloonText"/>
                                          <w:keepNext/>
                                          <w:keepLines/>
                                          <w:jc w:val="center"/>
                                          <w:rPr>
                                            <w:rFonts w:ascii="Bookman Old Style" w:hAnsi="Bookman Old Style"/>
                                            <w:sz w:val="12"/>
                                            <w:szCs w:val="12"/>
                                          </w:rPr>
                                        </w:pPr>
                                        <w:proofErr w:type="gramStart"/>
                                        <w:r w:rsidRPr="00EB0792">
                                          <w:rPr>
                                            <w:rFonts w:ascii="Bookman Old Style" w:hAnsi="Bookman Old Style"/>
                                            <w:sz w:val="12"/>
                                            <w:szCs w:val="12"/>
                                          </w:rPr>
                                          <w:t>composite</w:t>
                                        </w:r>
                                        <w:proofErr w:type="gramEnd"/>
                                        <w:r w:rsidRPr="00EB0792">
                                          <w:rPr>
                                            <w:rFonts w:ascii="Bookman Old Style" w:hAnsi="Bookman Old Style"/>
                                            <w:sz w:val="12"/>
                                            <w:szCs w:val="12"/>
                                          </w:rPr>
                                          <w:t xml:space="preserve"> good 1</w:t>
                                        </w:r>
                                      </w:p>
                                    </w:txbxContent>
                                  </wps:txbx>
                                  <wps:bodyPr rot="0" vert="horz" wrap="square" lIns="91440" tIns="45720" rIns="91440" bIns="45720" anchor="t" anchorCtr="0" upright="1">
                                    <a:noAutofit/>
                                  </wps:bodyPr>
                                </wps:wsp>
                                <wps:wsp>
                                  <wps:cNvPr id="104" name="AutoShape 27"/>
                                  <wps:cNvSpPr>
                                    <a:spLocks noChangeArrowheads="1"/>
                                  </wps:cNvSpPr>
                                  <wps:spPr bwMode="auto">
                                    <a:xfrm>
                                      <a:off x="0" y="2208363"/>
                                      <a:ext cx="600075" cy="307106"/>
                                    </a:xfrm>
                                    <a:prstGeom prst="flowChartAlternateProcess">
                                      <a:avLst/>
                                    </a:prstGeom>
                                    <a:solidFill>
                                      <a:srgbClr val="FFFFFF"/>
                                    </a:solidFill>
                                    <a:ln w="9525">
                                      <a:solidFill>
                                        <a:srgbClr val="000000"/>
                                      </a:solidFill>
                                      <a:miter lim="800000"/>
                                      <a:headEnd/>
                                      <a:tailEnd/>
                                    </a:ln>
                                  </wps:spPr>
                                  <wps:txbx>
                                    <w:txbxContent>
                                      <w:p w14:paraId="30E9E503" w14:textId="77777777" w:rsidR="00345FC9" w:rsidRPr="00EB0792" w:rsidRDefault="00345FC9" w:rsidP="004874BF">
                                        <w:pPr>
                                          <w:pStyle w:val="BalloonText"/>
                                          <w:keepNext/>
                                          <w:keepLines/>
                                          <w:jc w:val="center"/>
                                          <w:rPr>
                                            <w:rFonts w:ascii="Bookman Old Style" w:hAnsi="Bookman Old Style"/>
                                            <w:sz w:val="12"/>
                                            <w:szCs w:val="12"/>
                                          </w:rPr>
                                        </w:pPr>
                                        <w:r w:rsidRPr="00EB0792">
                                          <w:rPr>
                                            <w:rFonts w:ascii="Bookman Old Style" w:hAnsi="Bookman Old Style"/>
                                            <w:sz w:val="12"/>
                                            <w:szCs w:val="12"/>
                                          </w:rPr>
                                          <w:t>Domestic good 1</w:t>
                                        </w:r>
                                      </w:p>
                                    </w:txbxContent>
                                  </wps:txbx>
                                  <wps:bodyPr rot="0" vert="horz" wrap="square" lIns="91440" tIns="45720" rIns="91440" bIns="45720" anchor="t" anchorCtr="0" upright="1">
                                    <a:noAutofit/>
                                  </wps:bodyPr>
                                </wps:wsp>
                                <wps:wsp>
                                  <wps:cNvPr id="105" name="AutoShape 29"/>
                                  <wps:cNvSpPr>
                                    <a:spLocks noChangeArrowheads="1"/>
                                  </wps:cNvSpPr>
                                  <wps:spPr bwMode="auto">
                                    <a:xfrm>
                                      <a:off x="724619" y="2208363"/>
                                      <a:ext cx="598805" cy="306070"/>
                                    </a:xfrm>
                                    <a:prstGeom prst="flowChartAlternateProcess">
                                      <a:avLst/>
                                    </a:prstGeom>
                                    <a:solidFill>
                                      <a:srgbClr val="FFFFFF"/>
                                    </a:solidFill>
                                    <a:ln w="9525">
                                      <a:solidFill>
                                        <a:srgbClr val="000000"/>
                                      </a:solidFill>
                                      <a:miter lim="800000"/>
                                      <a:headEnd/>
                                      <a:tailEnd/>
                                    </a:ln>
                                  </wps:spPr>
                                  <wps:txbx>
                                    <w:txbxContent>
                                      <w:p w14:paraId="5736F9D3" w14:textId="77777777" w:rsidR="00345FC9" w:rsidRPr="00EB0792" w:rsidRDefault="00345FC9" w:rsidP="004874BF">
                                        <w:pPr>
                                          <w:pStyle w:val="BalloonText"/>
                                          <w:keepNext/>
                                          <w:keepLines/>
                                          <w:jc w:val="center"/>
                                          <w:rPr>
                                            <w:rFonts w:ascii="Bookman Old Style" w:hAnsi="Bookman Old Style"/>
                                            <w:sz w:val="12"/>
                                            <w:szCs w:val="12"/>
                                          </w:rPr>
                                        </w:pPr>
                                        <w:r w:rsidRPr="00EB0792">
                                          <w:rPr>
                                            <w:rFonts w:ascii="Bookman Old Style" w:hAnsi="Bookman Old Style"/>
                                            <w:sz w:val="12"/>
                                            <w:szCs w:val="12"/>
                                          </w:rPr>
                                          <w:t>Imported good 1</w:t>
                                        </w:r>
                                      </w:p>
                                    </w:txbxContent>
                                  </wps:txbx>
                                  <wps:bodyPr rot="0" vert="horz" wrap="square" lIns="91440" tIns="45720" rIns="91440" bIns="45720" anchor="t" anchorCtr="0" upright="1">
                                    <a:noAutofit/>
                                  </wps:bodyPr>
                                </wps:wsp>
                                <wpg:grpSp>
                                  <wpg:cNvPr id="106" name="Group 106"/>
                                  <wpg:cNvGrpSpPr/>
                                  <wpg:grpSpPr>
                                    <a:xfrm>
                                      <a:off x="276045" y="1423359"/>
                                      <a:ext cx="750570" cy="782955"/>
                                      <a:chOff x="0" y="0"/>
                                      <a:chExt cx="750883" cy="783557"/>
                                    </a:xfrm>
                                  </wpg:grpSpPr>
                                  <wps:wsp>
                                    <wps:cNvPr id="107" name="Line 30"/>
                                    <wps:cNvCnPr/>
                                    <wps:spPr bwMode="auto">
                                      <a:xfrm>
                                        <a:off x="13648" y="655093"/>
                                        <a:ext cx="7372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31"/>
                                    <wps:cNvCnPr>
                                      <a:cxnSpLocks noChangeShapeType="1"/>
                                    </wps:cNvCnPr>
                                    <wps:spPr bwMode="auto">
                                      <a:xfrm>
                                        <a:off x="13648" y="654748"/>
                                        <a:ext cx="0" cy="1283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33"/>
                                    <wps:cNvCnPr/>
                                    <wps:spPr bwMode="auto">
                                      <a:xfrm>
                                        <a:off x="368490" y="504967"/>
                                        <a:ext cx="0" cy="1498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0" name="AutoShape 50"/>
                                    <wps:cNvSpPr>
                                      <a:spLocks noChangeArrowheads="1"/>
                                    </wps:cNvSpPr>
                                    <wps:spPr bwMode="auto">
                                      <a:xfrm>
                                        <a:off x="0" y="150125"/>
                                        <a:ext cx="750570" cy="360045"/>
                                      </a:xfrm>
                                      <a:prstGeom prst="flowChartDecision">
                                        <a:avLst/>
                                      </a:prstGeom>
                                      <a:solidFill>
                                        <a:srgbClr val="FFFFFF"/>
                                      </a:solidFill>
                                      <a:ln w="9525">
                                        <a:solidFill>
                                          <a:srgbClr val="000000"/>
                                        </a:solidFill>
                                        <a:miter lim="800000"/>
                                        <a:headEnd/>
                                        <a:tailEnd/>
                                      </a:ln>
                                    </wps:spPr>
                                    <wps:txbx>
                                      <w:txbxContent>
                                        <w:p w14:paraId="6C1880CE" w14:textId="77777777" w:rsidR="00345FC9" w:rsidRPr="00EB0792" w:rsidRDefault="00345FC9" w:rsidP="004874BF">
                                          <w:pPr>
                                            <w:jc w:val="center"/>
                                            <w:rPr>
                                              <w:sz w:val="12"/>
                                              <w:szCs w:val="12"/>
                                            </w:rPr>
                                          </w:pPr>
                                          <w:r w:rsidRPr="00EB0792">
                                            <w:rPr>
                                              <w:rFonts w:ascii="Bookman Old Style" w:eastAsia="Times New Roman" w:hAnsi="Bookman Old Style"/>
                                              <w:sz w:val="12"/>
                                              <w:szCs w:val="12"/>
                                            </w:rPr>
                                            <w:t>CES</w:t>
                                          </w:r>
                                        </w:p>
                                      </w:txbxContent>
                                    </wps:txbx>
                                    <wps:bodyPr rot="0" vert="horz" wrap="square" lIns="91440" tIns="45720" rIns="91440" bIns="45720" anchor="t" anchorCtr="0" upright="1">
                                      <a:noAutofit/>
                                    </wps:bodyPr>
                                  </wps:wsp>
                                  <wps:wsp>
                                    <wps:cNvPr id="111" name="AutoShape 31"/>
                                    <wps:cNvCnPr>
                                      <a:cxnSpLocks noChangeShapeType="1"/>
                                    </wps:cNvCnPr>
                                    <wps:spPr bwMode="auto">
                                      <a:xfrm>
                                        <a:off x="743803" y="655093"/>
                                        <a:ext cx="0" cy="1284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33"/>
                                    <wps:cNvCnPr/>
                                    <wps:spPr bwMode="auto">
                                      <a:xfrm>
                                        <a:off x="375314" y="0"/>
                                        <a:ext cx="0" cy="15012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113" name="AutoShape 12"/>
                                  <wps:cNvSpPr>
                                    <a:spLocks noChangeArrowheads="1"/>
                                  </wps:cNvSpPr>
                                  <wps:spPr bwMode="auto">
                                    <a:xfrm>
                                      <a:off x="396815" y="3347050"/>
                                      <a:ext cx="681990" cy="327025"/>
                                    </a:xfrm>
                                    <a:prstGeom prst="flowChartAlternateProcess">
                                      <a:avLst/>
                                    </a:prstGeom>
                                    <a:solidFill>
                                      <a:srgbClr val="FFFFFF"/>
                                    </a:solidFill>
                                    <a:ln w="9525">
                                      <a:solidFill>
                                        <a:srgbClr val="000000"/>
                                      </a:solidFill>
                                      <a:miter lim="800000"/>
                                      <a:headEnd/>
                                      <a:tailEnd/>
                                    </a:ln>
                                  </wps:spPr>
                                  <wps:txbx>
                                    <w:txbxContent>
                                      <w:p w14:paraId="6EEC8162" w14:textId="77777777" w:rsidR="00345FC9" w:rsidRPr="002D53A0" w:rsidRDefault="00345FC9" w:rsidP="004874BF">
                                        <w:pPr>
                                          <w:pStyle w:val="BalloonText"/>
                                          <w:keepNext/>
                                          <w:keepLines/>
                                          <w:jc w:val="center"/>
                                          <w:rPr>
                                            <w:rFonts w:ascii="Bookman Old Style" w:hAnsi="Bookman Old Style"/>
                                            <w:sz w:val="12"/>
                                            <w:szCs w:val="12"/>
                                          </w:rPr>
                                        </w:pPr>
                                        <w:r>
                                          <w:rPr>
                                            <w:rFonts w:ascii="Bookman Old Style" w:hAnsi="Bookman Old Style"/>
                                            <w:sz w:val="12"/>
                                            <w:szCs w:val="12"/>
                                          </w:rPr>
                                          <w:t>Output or input</w:t>
                                        </w:r>
                                      </w:p>
                                    </w:txbxContent>
                                  </wps:txbx>
                                  <wps:bodyPr rot="0" vert="horz" wrap="square" lIns="91440" tIns="45720" rIns="91440" bIns="45720" anchor="t" anchorCtr="0" upright="1">
                                    <a:noAutofit/>
                                  </wps:bodyPr>
                                </wps:wsp>
                                <wpg:grpSp>
                                  <wpg:cNvPr id="114" name="Group 114"/>
                                  <wpg:cNvGrpSpPr/>
                                  <wpg:grpSpPr>
                                    <a:xfrm>
                                      <a:off x="1380227" y="276046"/>
                                      <a:ext cx="3404989" cy="3573468"/>
                                      <a:chOff x="0" y="0"/>
                                      <a:chExt cx="3404989" cy="3573468"/>
                                    </a:xfrm>
                                  </wpg:grpSpPr>
                                  <wps:wsp>
                                    <wps:cNvPr id="115" name="Text Box 11"/>
                                    <wps:cNvSpPr txBox="1">
                                      <a:spLocks noChangeArrowheads="1"/>
                                    </wps:cNvSpPr>
                                    <wps:spPr bwMode="auto">
                                      <a:xfrm>
                                        <a:off x="2277373" y="3096883"/>
                                        <a:ext cx="5384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06133" w14:textId="77777777" w:rsidR="00345FC9" w:rsidRPr="00EB0792" w:rsidRDefault="00345FC9" w:rsidP="004874BF">
                                          <w:pPr>
                                            <w:pStyle w:val="BalloonText"/>
                                            <w:keepNext/>
                                            <w:keepLines/>
                                            <w:rPr>
                                              <w:rFonts w:ascii="Bookman Old Style" w:hAnsi="Bookman Old Style"/>
                                              <w:sz w:val="12"/>
                                              <w:szCs w:val="12"/>
                                            </w:rPr>
                                          </w:pPr>
                                          <w:r w:rsidRPr="00EB0792">
                                            <w:rPr>
                                              <w:rFonts w:ascii="Bookman Old Style" w:hAnsi="Bookman Old Style"/>
                                              <w:sz w:val="12"/>
                                              <w:szCs w:val="12"/>
                                            </w:rPr>
                                            <w:t>--</w:t>
                                          </w:r>
                                          <w:proofErr w:type="gramStart"/>
                                          <w:r w:rsidRPr="00EB0792">
                                            <w:rPr>
                                              <w:rFonts w:ascii="Bookman Old Style" w:hAnsi="Bookman Old Style"/>
                                              <w:sz w:val="12"/>
                                              <w:szCs w:val="12"/>
                                            </w:rPr>
                                            <w:t>up</w:t>
                                          </w:r>
                                          <w:proofErr w:type="gramEnd"/>
                                          <w:r w:rsidRPr="00EB0792">
                                            <w:rPr>
                                              <w:rFonts w:ascii="Bookman Old Style" w:hAnsi="Bookman Old Style"/>
                                              <w:sz w:val="12"/>
                                              <w:szCs w:val="12"/>
                                            </w:rPr>
                                            <w:t xml:space="preserve"> to--</w:t>
                                          </w:r>
                                        </w:p>
                                      </w:txbxContent>
                                    </wps:txbx>
                                    <wps:bodyPr rot="0" vert="horz" wrap="square" lIns="91440" tIns="45720" rIns="91440" bIns="45720" anchor="t" anchorCtr="0" upright="1">
                                      <a:noAutofit/>
                                    </wps:bodyPr>
                                  </wps:wsp>
                                  <wps:wsp>
                                    <wps:cNvPr id="116" name="AutoShape 12"/>
                                    <wps:cNvSpPr>
                                      <a:spLocks noChangeArrowheads="1"/>
                                    </wps:cNvSpPr>
                                    <wps:spPr bwMode="auto">
                                      <a:xfrm>
                                        <a:off x="1802920" y="3036498"/>
                                        <a:ext cx="504825" cy="321310"/>
                                      </a:xfrm>
                                      <a:prstGeom prst="flowChartAlternateProcess">
                                        <a:avLst/>
                                      </a:prstGeom>
                                      <a:solidFill>
                                        <a:srgbClr val="FFFFFF"/>
                                      </a:solidFill>
                                      <a:ln w="9525">
                                        <a:solidFill>
                                          <a:srgbClr val="000000"/>
                                        </a:solidFill>
                                        <a:miter lim="800000"/>
                                        <a:headEnd/>
                                        <a:tailEnd/>
                                      </a:ln>
                                    </wps:spPr>
                                    <wps:txbx>
                                      <w:txbxContent>
                                        <w:p w14:paraId="1E4AAA98" w14:textId="77777777" w:rsidR="00345FC9" w:rsidRPr="00EB0792" w:rsidRDefault="00345FC9" w:rsidP="004874BF">
                                          <w:pPr>
                                            <w:pStyle w:val="BalloonText"/>
                                            <w:keepNext/>
                                            <w:keepLines/>
                                            <w:rPr>
                                              <w:rFonts w:ascii="Bookman Old Style" w:hAnsi="Bookman Old Style"/>
                                              <w:sz w:val="12"/>
                                              <w:szCs w:val="12"/>
                                            </w:rPr>
                                          </w:pPr>
                                          <w:r w:rsidRPr="00EB0792">
                                            <w:rPr>
                                              <w:rFonts w:ascii="Bookman Old Style" w:hAnsi="Bookman Old Style"/>
                                              <w:sz w:val="12"/>
                                              <w:szCs w:val="12"/>
                                            </w:rPr>
                                            <w:t xml:space="preserve">Labour </w:t>
                                          </w:r>
                                        </w:p>
                                        <w:p w14:paraId="317F5400" w14:textId="77777777" w:rsidR="00345FC9" w:rsidRPr="00EB0792" w:rsidRDefault="00345FC9" w:rsidP="004874BF">
                                          <w:pPr>
                                            <w:pStyle w:val="BalloonText"/>
                                            <w:keepNext/>
                                            <w:keepLines/>
                                            <w:rPr>
                                              <w:rFonts w:ascii="Bookman Old Style" w:hAnsi="Bookman Old Style"/>
                                              <w:sz w:val="12"/>
                                              <w:szCs w:val="12"/>
                                            </w:rPr>
                                          </w:pPr>
                                          <w:proofErr w:type="gramStart"/>
                                          <w:r>
                                            <w:rPr>
                                              <w:rFonts w:ascii="Bookman Old Style" w:hAnsi="Bookman Old Style"/>
                                              <w:sz w:val="12"/>
                                              <w:szCs w:val="12"/>
                                            </w:rPr>
                                            <w:t>type</w:t>
                                          </w:r>
                                          <w:proofErr w:type="gramEnd"/>
                                          <w:r>
                                            <w:rPr>
                                              <w:rFonts w:ascii="Bookman Old Style" w:hAnsi="Bookman Old Style"/>
                                              <w:sz w:val="12"/>
                                              <w:szCs w:val="12"/>
                                            </w:rPr>
                                            <w:t xml:space="preserve"> 1</w:t>
                                          </w:r>
                                        </w:p>
                                      </w:txbxContent>
                                    </wps:txbx>
                                    <wps:bodyPr rot="0" vert="horz" wrap="square" lIns="91440" tIns="45720" rIns="91440" bIns="45720" anchor="t" anchorCtr="0" upright="1">
                                      <a:noAutofit/>
                                    </wps:bodyPr>
                                  </wps:wsp>
                                  <wps:wsp>
                                    <wps:cNvPr id="117" name="AutoShape 14"/>
                                    <wps:cNvSpPr>
                                      <a:spLocks noChangeArrowheads="1"/>
                                    </wps:cNvSpPr>
                                    <wps:spPr bwMode="auto">
                                      <a:xfrm>
                                        <a:off x="2717320" y="3036498"/>
                                        <a:ext cx="520700" cy="325120"/>
                                      </a:xfrm>
                                      <a:prstGeom prst="flowChartAlternateProcess">
                                        <a:avLst/>
                                      </a:prstGeom>
                                      <a:solidFill>
                                        <a:srgbClr val="FFFFFF"/>
                                      </a:solidFill>
                                      <a:ln w="9525">
                                        <a:solidFill>
                                          <a:srgbClr val="000000"/>
                                        </a:solidFill>
                                        <a:miter lim="800000"/>
                                        <a:headEnd/>
                                        <a:tailEnd/>
                                      </a:ln>
                                    </wps:spPr>
                                    <wps:txbx>
                                      <w:txbxContent>
                                        <w:p w14:paraId="5CE342A0" w14:textId="77777777" w:rsidR="00345FC9" w:rsidRPr="00EB0792" w:rsidRDefault="00345FC9" w:rsidP="004874BF">
                                          <w:pPr>
                                            <w:pStyle w:val="BalloonText"/>
                                            <w:keepNext/>
                                            <w:keepLines/>
                                            <w:rPr>
                                              <w:rFonts w:ascii="Bookman Old Style" w:hAnsi="Bookman Old Style"/>
                                              <w:sz w:val="12"/>
                                              <w:szCs w:val="12"/>
                                            </w:rPr>
                                          </w:pPr>
                                          <w:r w:rsidRPr="00EB0792">
                                            <w:rPr>
                                              <w:rFonts w:ascii="Bookman Old Style" w:hAnsi="Bookman Old Style"/>
                                              <w:sz w:val="12"/>
                                              <w:szCs w:val="12"/>
                                            </w:rPr>
                                            <w:t xml:space="preserve">Labour </w:t>
                                          </w:r>
                                        </w:p>
                                        <w:p w14:paraId="157FEA24" w14:textId="77777777" w:rsidR="00345FC9" w:rsidRPr="00EB0792" w:rsidRDefault="00345FC9" w:rsidP="004874BF">
                                          <w:pPr>
                                            <w:pStyle w:val="BalloonText"/>
                                            <w:keepNext/>
                                            <w:keepLines/>
                                            <w:rPr>
                                              <w:rFonts w:ascii="Bookman Old Style" w:hAnsi="Bookman Old Style"/>
                                              <w:sz w:val="12"/>
                                              <w:szCs w:val="12"/>
                                            </w:rPr>
                                          </w:pPr>
                                          <w:proofErr w:type="gramStart"/>
                                          <w:r>
                                            <w:rPr>
                                              <w:rFonts w:ascii="Bookman Old Style" w:hAnsi="Bookman Old Style"/>
                                              <w:sz w:val="12"/>
                                              <w:szCs w:val="12"/>
                                            </w:rPr>
                                            <w:t>type</w:t>
                                          </w:r>
                                          <w:proofErr w:type="gramEnd"/>
                                          <w:r>
                                            <w:rPr>
                                              <w:rFonts w:ascii="Bookman Old Style" w:hAnsi="Bookman Old Style"/>
                                              <w:sz w:val="12"/>
                                              <w:szCs w:val="12"/>
                                            </w:rPr>
                                            <w:t xml:space="preserve"> 11</w:t>
                                          </w:r>
                                        </w:p>
                                        <w:p w14:paraId="67461DC6" w14:textId="77777777" w:rsidR="00345FC9" w:rsidRPr="00EB0792" w:rsidRDefault="00345FC9" w:rsidP="004874BF">
                                          <w:pPr>
                                            <w:keepNext/>
                                            <w:keepLines/>
                                            <w:rPr>
                                              <w:sz w:val="12"/>
                                              <w:szCs w:val="12"/>
                                            </w:rPr>
                                          </w:pPr>
                                        </w:p>
                                      </w:txbxContent>
                                    </wps:txbx>
                                    <wps:bodyPr rot="0" vert="horz" wrap="square" lIns="91440" tIns="45720" rIns="91440" bIns="45720" anchor="t" anchorCtr="0" upright="1">
                                      <a:noAutofit/>
                                    </wps:bodyPr>
                                  </wps:wsp>
                                  <wps:wsp>
                                    <wps:cNvPr id="118" name="AutoShape 6"/>
                                    <wps:cNvSpPr>
                                      <a:spLocks noChangeArrowheads="1"/>
                                    </wps:cNvSpPr>
                                    <wps:spPr bwMode="auto">
                                      <a:xfrm>
                                        <a:off x="457200" y="146649"/>
                                        <a:ext cx="1000125" cy="422910"/>
                                      </a:xfrm>
                                      <a:prstGeom prst="flowChartDecision">
                                        <a:avLst/>
                                      </a:prstGeom>
                                      <a:solidFill>
                                        <a:srgbClr val="FFFFFF"/>
                                      </a:solidFill>
                                      <a:ln w="9525">
                                        <a:solidFill>
                                          <a:srgbClr val="000000"/>
                                        </a:solidFill>
                                        <a:miter lim="800000"/>
                                        <a:headEnd/>
                                        <a:tailEnd/>
                                      </a:ln>
                                    </wps:spPr>
                                    <wps:txbx>
                                      <w:txbxContent>
                                        <w:p w14:paraId="494005AA" w14:textId="77777777" w:rsidR="00345FC9" w:rsidRPr="00EB0792" w:rsidRDefault="00345FC9" w:rsidP="004874BF">
                                          <w:pPr>
                                            <w:pStyle w:val="BalloonText"/>
                                            <w:keepNext/>
                                            <w:keepLines/>
                                            <w:rPr>
                                              <w:rFonts w:ascii="Bookman Old Style" w:hAnsi="Bookman Old Style"/>
                                              <w:sz w:val="12"/>
                                              <w:szCs w:val="12"/>
                                            </w:rPr>
                                          </w:pPr>
                                          <w:r w:rsidRPr="00EB0792">
                                            <w:rPr>
                                              <w:rFonts w:ascii="Bookman Old Style" w:hAnsi="Bookman Old Style"/>
                                              <w:sz w:val="12"/>
                                              <w:szCs w:val="12"/>
                                            </w:rPr>
                                            <w:t>Leontief</w:t>
                                          </w:r>
                                        </w:p>
                                      </w:txbxContent>
                                    </wps:txbx>
                                    <wps:bodyPr rot="0" vert="horz" wrap="square" lIns="91440" tIns="45720" rIns="91440" bIns="45720" anchor="t" anchorCtr="0" upright="1">
                                      <a:noAutofit/>
                                    </wps:bodyPr>
                                  </wps:wsp>
                                  <wps:wsp>
                                    <wps:cNvPr id="119" name="Line 9"/>
                                    <wps:cNvCnPr/>
                                    <wps:spPr bwMode="auto">
                                      <a:xfrm flipH="1" flipV="1">
                                        <a:off x="957532" y="0"/>
                                        <a:ext cx="5715"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53"/>
                                    <wps:cNvSpPr>
                                      <a:spLocks noChangeArrowheads="1"/>
                                    </wps:cNvSpPr>
                                    <wps:spPr bwMode="auto">
                                      <a:xfrm>
                                        <a:off x="1699403" y="1949570"/>
                                        <a:ext cx="532130" cy="288925"/>
                                      </a:xfrm>
                                      <a:prstGeom prst="flowChartAlternateProcess">
                                        <a:avLst/>
                                      </a:prstGeom>
                                      <a:solidFill>
                                        <a:srgbClr val="FFFFFF"/>
                                      </a:solidFill>
                                      <a:ln w="9525">
                                        <a:solidFill>
                                          <a:srgbClr val="000000"/>
                                        </a:solidFill>
                                        <a:miter lim="800000"/>
                                        <a:headEnd/>
                                        <a:tailEnd/>
                                      </a:ln>
                                    </wps:spPr>
                                    <wps:txbx>
                                      <w:txbxContent>
                                        <w:p w14:paraId="2B034B7F" w14:textId="77777777" w:rsidR="00345FC9" w:rsidRPr="00EB0792" w:rsidRDefault="00345FC9" w:rsidP="004874BF">
                                          <w:pPr>
                                            <w:rPr>
                                              <w:sz w:val="12"/>
                                              <w:szCs w:val="12"/>
                                            </w:rPr>
                                          </w:pPr>
                                        </w:p>
                                      </w:txbxContent>
                                    </wps:txbx>
                                    <wps:bodyPr rot="0" vert="horz" wrap="square" lIns="91440" tIns="45720" rIns="91440" bIns="45720" anchor="t" anchorCtr="0" upright="1">
                                      <a:noAutofit/>
                                    </wps:bodyPr>
                                  </wps:wsp>
                                  <wps:wsp>
                                    <wps:cNvPr id="121" name="AutoShape 56"/>
                                    <wps:cNvSpPr>
                                      <a:spLocks noChangeArrowheads="1"/>
                                    </wps:cNvSpPr>
                                    <wps:spPr bwMode="auto">
                                      <a:xfrm>
                                        <a:off x="2268747" y="1940943"/>
                                        <a:ext cx="532130" cy="295275"/>
                                      </a:xfrm>
                                      <a:prstGeom prst="flowChartAlternateProcess">
                                        <a:avLst/>
                                      </a:prstGeom>
                                      <a:solidFill>
                                        <a:srgbClr val="FFFFFF"/>
                                      </a:solidFill>
                                      <a:ln w="9525">
                                        <a:solidFill>
                                          <a:srgbClr val="000000"/>
                                        </a:solidFill>
                                        <a:miter lim="800000"/>
                                        <a:headEnd/>
                                        <a:tailEnd/>
                                      </a:ln>
                                    </wps:spPr>
                                    <wps:txbx>
                                      <w:txbxContent>
                                        <w:p w14:paraId="578146C1" w14:textId="77777777" w:rsidR="00345FC9" w:rsidRPr="00EB0792" w:rsidRDefault="00345FC9" w:rsidP="004874BF">
                                          <w:pPr>
                                            <w:jc w:val="center"/>
                                            <w:rPr>
                                              <w:sz w:val="12"/>
                                              <w:szCs w:val="12"/>
                                            </w:rPr>
                                          </w:pPr>
                                        </w:p>
                                      </w:txbxContent>
                                    </wps:txbx>
                                    <wps:bodyPr rot="0" vert="horz" wrap="square" lIns="91440" tIns="45720" rIns="91440" bIns="45720" anchor="t" anchorCtr="0" upright="1">
                                      <a:noAutofit/>
                                    </wps:bodyPr>
                                  </wps:wsp>
                                  <wps:wsp>
                                    <wps:cNvPr id="122" name="Text Box 62"/>
                                    <wps:cNvSpPr txBox="1">
                                      <a:spLocks noChangeArrowheads="1"/>
                                    </wps:cNvSpPr>
                                    <wps:spPr bwMode="auto">
                                      <a:xfrm>
                                        <a:off x="1733909" y="1984075"/>
                                        <a:ext cx="45021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1E10A" w14:textId="77777777" w:rsidR="00345FC9" w:rsidRPr="00FB1D51" w:rsidRDefault="00345FC9" w:rsidP="004874BF">
                                          <w:pPr>
                                            <w:pStyle w:val="BalloonText"/>
                                            <w:keepNext/>
                                            <w:keepLines/>
                                            <w:jc w:val="center"/>
                                            <w:rPr>
                                              <w:rFonts w:ascii="Bookman Old Style" w:hAnsi="Bookman Old Style"/>
                                              <w:sz w:val="12"/>
                                              <w:szCs w:val="12"/>
                                            </w:rPr>
                                          </w:pPr>
                                          <w:r w:rsidRPr="00EB0792">
                                            <w:rPr>
                                              <w:rFonts w:ascii="Bookman Old Style" w:hAnsi="Bookman Old Style"/>
                                              <w:sz w:val="12"/>
                                              <w:szCs w:val="12"/>
                                            </w:rPr>
                                            <w:t>Capital</w:t>
                                          </w:r>
                                        </w:p>
                                      </w:txbxContent>
                                    </wps:txbx>
                                    <wps:bodyPr rot="0" vert="horz" wrap="square" lIns="91440" tIns="45720" rIns="91440" bIns="45720" anchor="t" anchorCtr="0" upright="1">
                                      <a:noAutofit/>
                                    </wps:bodyPr>
                                  </wps:wsp>
                                  <wps:wsp>
                                    <wps:cNvPr id="123" name="Text Box 63"/>
                                    <wps:cNvSpPr txBox="1">
                                      <a:spLocks noChangeArrowheads="1"/>
                                    </wps:cNvSpPr>
                                    <wps:spPr bwMode="auto">
                                      <a:xfrm>
                                        <a:off x="2303252" y="1984075"/>
                                        <a:ext cx="49085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8EC58" w14:textId="77777777" w:rsidR="00345FC9" w:rsidRPr="00EB0792" w:rsidRDefault="00345FC9" w:rsidP="004874BF">
                                          <w:pPr>
                                            <w:pStyle w:val="BalloonText"/>
                                            <w:keepNext/>
                                            <w:keepLines/>
                                            <w:rPr>
                                              <w:rFonts w:ascii="Bookman Old Style" w:hAnsi="Bookman Old Style"/>
                                              <w:sz w:val="12"/>
                                              <w:szCs w:val="12"/>
                                            </w:rPr>
                                          </w:pPr>
                                          <w:r w:rsidRPr="00EB0792">
                                            <w:rPr>
                                              <w:rFonts w:ascii="Bookman Old Style" w:hAnsi="Bookman Old Style"/>
                                              <w:sz w:val="12"/>
                                              <w:szCs w:val="12"/>
                                            </w:rPr>
                                            <w:t>Labour</w:t>
                                          </w:r>
                                        </w:p>
                                        <w:p w14:paraId="62DFBC84" w14:textId="77777777" w:rsidR="00345FC9" w:rsidRPr="00EB0792" w:rsidRDefault="00345FC9" w:rsidP="004874BF">
                                          <w:pPr>
                                            <w:rPr>
                                              <w:sz w:val="12"/>
                                              <w:szCs w:val="12"/>
                                            </w:rPr>
                                          </w:pPr>
                                        </w:p>
                                      </w:txbxContent>
                                    </wps:txbx>
                                    <wps:bodyPr rot="0" vert="horz" wrap="square" lIns="91440" tIns="45720" rIns="91440" bIns="45720" anchor="t" anchorCtr="0" upright="1">
                                      <a:noAutofit/>
                                    </wps:bodyPr>
                                  </wps:wsp>
                                  <wps:wsp>
                                    <wps:cNvPr id="124" name="AutoShape 56"/>
                                    <wps:cNvSpPr>
                                      <a:spLocks noChangeArrowheads="1"/>
                                    </wps:cNvSpPr>
                                    <wps:spPr bwMode="auto">
                                      <a:xfrm>
                                        <a:off x="2863969" y="1958196"/>
                                        <a:ext cx="541020" cy="281940"/>
                                      </a:xfrm>
                                      <a:prstGeom prst="flowChartAlternateProcess">
                                        <a:avLst/>
                                      </a:prstGeom>
                                      <a:solidFill>
                                        <a:srgbClr val="FFFFFF"/>
                                      </a:solidFill>
                                      <a:ln w="9525">
                                        <a:solidFill>
                                          <a:srgbClr val="000000"/>
                                        </a:solidFill>
                                        <a:miter lim="800000"/>
                                        <a:headEnd/>
                                        <a:tailEnd/>
                                      </a:ln>
                                    </wps:spPr>
                                    <wps:txbx>
                                      <w:txbxContent>
                                        <w:p w14:paraId="62E664F5" w14:textId="77777777" w:rsidR="00345FC9" w:rsidRPr="00EB0792" w:rsidRDefault="00345FC9" w:rsidP="004874BF">
                                          <w:pPr>
                                            <w:jc w:val="center"/>
                                            <w:rPr>
                                              <w:sz w:val="12"/>
                                              <w:szCs w:val="12"/>
                                            </w:rPr>
                                          </w:pPr>
                                        </w:p>
                                      </w:txbxContent>
                                    </wps:txbx>
                                    <wps:bodyPr rot="0" vert="horz" wrap="square" lIns="91440" tIns="45720" rIns="91440" bIns="45720" anchor="t" anchorCtr="0" upright="1">
                                      <a:noAutofit/>
                                    </wps:bodyPr>
                                  </wps:wsp>
                                  <wps:wsp>
                                    <wps:cNvPr id="125" name="Text Box 63"/>
                                    <wps:cNvSpPr txBox="1">
                                      <a:spLocks noChangeArrowheads="1"/>
                                    </wps:cNvSpPr>
                                    <wps:spPr bwMode="auto">
                                      <a:xfrm>
                                        <a:off x="2932981" y="1992702"/>
                                        <a:ext cx="402590"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2C3F0" w14:textId="77777777" w:rsidR="00345FC9" w:rsidRPr="00EB0792" w:rsidRDefault="00345FC9" w:rsidP="004874BF">
                                          <w:pPr>
                                            <w:rPr>
                                              <w:sz w:val="12"/>
                                              <w:szCs w:val="12"/>
                                            </w:rPr>
                                          </w:pPr>
                                          <w:r w:rsidRPr="00EB0792">
                                            <w:rPr>
                                              <w:rFonts w:ascii="Bookman Old Style" w:eastAsia="Times New Roman" w:hAnsi="Bookman Old Style"/>
                                              <w:sz w:val="12"/>
                                              <w:szCs w:val="12"/>
                                            </w:rPr>
                                            <w:t>Land</w:t>
                                          </w:r>
                                        </w:p>
                                        <w:p w14:paraId="2BF3B13F" w14:textId="77777777" w:rsidR="00345FC9" w:rsidRPr="00EB0792" w:rsidRDefault="00345FC9" w:rsidP="004874BF">
                                          <w:pPr>
                                            <w:rPr>
                                              <w:sz w:val="12"/>
                                              <w:szCs w:val="12"/>
                                            </w:rPr>
                                          </w:pPr>
                                          <w:r w:rsidRPr="00EB0792">
                                            <w:rPr>
                                              <w:rFonts w:ascii="Calibri" w:eastAsia="SimSun" w:hAnsi="Calibri" w:cs="Arial"/>
                                              <w:sz w:val="12"/>
                                              <w:szCs w:val="12"/>
                                            </w:rPr>
                                            <w:t> </w:t>
                                          </w:r>
                                        </w:p>
                                      </w:txbxContent>
                                    </wps:txbx>
                                    <wps:bodyPr rot="0" vert="horz" wrap="square" lIns="91440" tIns="45720" rIns="91440" bIns="45720" anchor="t" anchorCtr="0" upright="1">
                                      <a:noAutofit/>
                                    </wps:bodyPr>
                                  </wps:wsp>
                                  <wps:wsp>
                                    <wps:cNvPr id="126" name="AutoShape 20"/>
                                    <wps:cNvSpPr>
                                      <a:spLocks noChangeArrowheads="1"/>
                                    </wps:cNvSpPr>
                                    <wps:spPr bwMode="auto">
                                      <a:xfrm>
                                        <a:off x="198407" y="854015"/>
                                        <a:ext cx="919480" cy="308092"/>
                                      </a:xfrm>
                                      <a:prstGeom prst="flowChartAlternateProcess">
                                        <a:avLst/>
                                      </a:prstGeom>
                                      <a:solidFill>
                                        <a:srgbClr val="FFFFFF"/>
                                      </a:solidFill>
                                      <a:ln w="9525">
                                        <a:solidFill>
                                          <a:srgbClr val="000000"/>
                                        </a:solidFill>
                                        <a:miter lim="800000"/>
                                        <a:headEnd/>
                                        <a:tailEnd/>
                                      </a:ln>
                                    </wps:spPr>
                                    <wps:txbx>
                                      <w:txbxContent>
                                        <w:p w14:paraId="373E85EC" w14:textId="77777777" w:rsidR="00345FC9" w:rsidRDefault="00345FC9" w:rsidP="004874BF">
                                          <w:pPr>
                                            <w:pStyle w:val="BalloonText"/>
                                            <w:keepNext/>
                                            <w:keepLines/>
                                            <w:jc w:val="center"/>
                                            <w:rPr>
                                              <w:rFonts w:ascii="Bookman Old Style" w:hAnsi="Bookman Old Style"/>
                                              <w:sz w:val="12"/>
                                              <w:szCs w:val="12"/>
                                            </w:rPr>
                                          </w:pPr>
                                          <w:r w:rsidRPr="00EB0792">
                                            <w:rPr>
                                              <w:rFonts w:ascii="Bookman Old Style" w:hAnsi="Bookman Old Style"/>
                                              <w:sz w:val="12"/>
                                              <w:szCs w:val="12"/>
                                            </w:rPr>
                                            <w:t>Intermediate</w:t>
                                          </w:r>
                                        </w:p>
                                        <w:p w14:paraId="74A484AD" w14:textId="77777777" w:rsidR="00345FC9" w:rsidRPr="00EB0792" w:rsidRDefault="00345FC9" w:rsidP="004874BF">
                                          <w:pPr>
                                            <w:pStyle w:val="BalloonText"/>
                                            <w:keepNext/>
                                            <w:keepLines/>
                                            <w:jc w:val="center"/>
                                            <w:rPr>
                                              <w:rFonts w:ascii="Bookman Old Style" w:hAnsi="Bookman Old Style"/>
                                              <w:sz w:val="12"/>
                                              <w:szCs w:val="12"/>
                                            </w:rPr>
                                          </w:pPr>
                                          <w:proofErr w:type="gramStart"/>
                                          <w:r w:rsidRPr="00EB0792">
                                            <w:rPr>
                                              <w:rFonts w:ascii="Bookman Old Style" w:hAnsi="Bookman Old Style"/>
                                              <w:sz w:val="12"/>
                                              <w:szCs w:val="12"/>
                                            </w:rPr>
                                            <w:t>composite</w:t>
                                          </w:r>
                                          <w:proofErr w:type="gramEnd"/>
                                          <w:r w:rsidRPr="00EB0792">
                                            <w:rPr>
                                              <w:rFonts w:ascii="Bookman Old Style" w:hAnsi="Bookman Old Style"/>
                                              <w:sz w:val="12"/>
                                              <w:szCs w:val="12"/>
                                            </w:rPr>
                                            <w:t xml:space="preserve"> good </w:t>
                                          </w:r>
                                          <w:r>
                                            <w:rPr>
                                              <w:rFonts w:ascii="Bookman Old Style" w:hAnsi="Bookman Old Style"/>
                                              <w:sz w:val="12"/>
                                              <w:szCs w:val="12"/>
                                            </w:rPr>
                                            <w:t>44</w:t>
                                          </w:r>
                                        </w:p>
                                      </w:txbxContent>
                                    </wps:txbx>
                                    <wps:bodyPr rot="0" vert="horz" wrap="square" lIns="91440" tIns="45720" rIns="91440" bIns="45720" anchor="t" anchorCtr="0" upright="1">
                                      <a:noAutofit/>
                                    </wps:bodyPr>
                                  </wps:wsp>
                                  <wps:wsp>
                                    <wps:cNvPr id="127" name="AutoShape 49"/>
                                    <wps:cNvSpPr>
                                      <a:spLocks noChangeArrowheads="1"/>
                                    </wps:cNvSpPr>
                                    <wps:spPr bwMode="auto">
                                      <a:xfrm>
                                        <a:off x="2104845" y="854015"/>
                                        <a:ext cx="889000" cy="306705"/>
                                      </a:xfrm>
                                      <a:prstGeom prst="flowChartAlternateProcess">
                                        <a:avLst/>
                                      </a:prstGeom>
                                      <a:solidFill>
                                        <a:srgbClr val="FFFFFF"/>
                                      </a:solidFill>
                                      <a:ln w="9525">
                                        <a:solidFill>
                                          <a:srgbClr val="000000"/>
                                        </a:solidFill>
                                        <a:miter lim="800000"/>
                                        <a:headEnd/>
                                        <a:tailEnd/>
                                      </a:ln>
                                    </wps:spPr>
                                    <wps:txbx>
                                      <w:txbxContent>
                                        <w:p w14:paraId="4237CD21" w14:textId="77777777" w:rsidR="00345FC9" w:rsidRPr="00EB0792" w:rsidRDefault="00345FC9" w:rsidP="004874BF">
                                          <w:pPr>
                                            <w:pStyle w:val="BalloonText"/>
                                            <w:keepNext/>
                                            <w:keepLines/>
                                            <w:jc w:val="center"/>
                                            <w:rPr>
                                              <w:rFonts w:ascii="Bookman Old Style" w:hAnsi="Bookman Old Style"/>
                                              <w:sz w:val="12"/>
                                              <w:szCs w:val="12"/>
                                            </w:rPr>
                                          </w:pPr>
                                          <w:r w:rsidRPr="00EB0792">
                                            <w:rPr>
                                              <w:rFonts w:ascii="Bookman Old Style" w:hAnsi="Bookman Old Style"/>
                                              <w:sz w:val="12"/>
                                              <w:szCs w:val="12"/>
                                            </w:rPr>
                                            <w:t>Composite</w:t>
                                          </w:r>
                                        </w:p>
                                        <w:p w14:paraId="71C533AA" w14:textId="77777777" w:rsidR="00345FC9" w:rsidRPr="00EB0792" w:rsidRDefault="00345FC9" w:rsidP="004874BF">
                                          <w:pPr>
                                            <w:pStyle w:val="BalloonText"/>
                                            <w:keepNext/>
                                            <w:keepLines/>
                                            <w:jc w:val="center"/>
                                            <w:rPr>
                                              <w:rFonts w:ascii="Bookman Old Style" w:hAnsi="Bookman Old Style"/>
                                              <w:sz w:val="12"/>
                                              <w:szCs w:val="12"/>
                                            </w:rPr>
                                          </w:pPr>
                                          <w:proofErr w:type="gramStart"/>
                                          <w:r w:rsidRPr="00EB0792">
                                            <w:rPr>
                                              <w:rFonts w:ascii="Bookman Old Style" w:hAnsi="Bookman Old Style"/>
                                              <w:sz w:val="12"/>
                                              <w:szCs w:val="12"/>
                                            </w:rPr>
                                            <w:t>primary</w:t>
                                          </w:r>
                                          <w:proofErr w:type="gramEnd"/>
                                          <w:r w:rsidRPr="00EB0792">
                                            <w:rPr>
                                              <w:rFonts w:ascii="Bookman Old Style" w:hAnsi="Bookman Old Style"/>
                                              <w:sz w:val="12"/>
                                              <w:szCs w:val="12"/>
                                            </w:rPr>
                                            <w:t xml:space="preserve"> factors</w:t>
                                          </w:r>
                                        </w:p>
                                      </w:txbxContent>
                                    </wps:txbx>
                                    <wps:bodyPr rot="0" vert="horz" wrap="square" lIns="91440" tIns="45720" rIns="91440" bIns="45720" anchor="t" anchorCtr="0" upright="1">
                                      <a:noAutofit/>
                                    </wps:bodyPr>
                                  </wps:wsp>
                                  <wpg:grpSp>
                                    <wpg:cNvPr id="128" name="Group 128"/>
                                    <wpg:cNvGrpSpPr/>
                                    <wpg:grpSpPr>
                                      <a:xfrm>
                                        <a:off x="293298" y="1147313"/>
                                        <a:ext cx="751882" cy="817880"/>
                                        <a:chOff x="0" y="0"/>
                                        <a:chExt cx="752196" cy="818288"/>
                                      </a:xfrm>
                                    </wpg:grpSpPr>
                                    <wps:wsp>
                                      <wps:cNvPr id="129" name="Line 30"/>
                                      <wps:cNvCnPr/>
                                      <wps:spPr bwMode="auto">
                                        <a:xfrm>
                                          <a:off x="13648" y="655093"/>
                                          <a:ext cx="7372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31"/>
                                      <wps:cNvCnPr>
                                        <a:cxnSpLocks noChangeShapeType="1"/>
                                      </wps:cNvCnPr>
                                      <wps:spPr bwMode="auto">
                                        <a:xfrm>
                                          <a:off x="13648" y="655093"/>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33"/>
                                      <wps:cNvCnPr/>
                                      <wps:spPr bwMode="auto">
                                        <a:xfrm>
                                          <a:off x="368490" y="504967"/>
                                          <a:ext cx="0" cy="1498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2" name="AutoShape 50"/>
                                      <wps:cNvSpPr>
                                        <a:spLocks noChangeArrowheads="1"/>
                                      </wps:cNvSpPr>
                                      <wps:spPr bwMode="auto">
                                        <a:xfrm>
                                          <a:off x="0" y="150125"/>
                                          <a:ext cx="750570" cy="360045"/>
                                        </a:xfrm>
                                        <a:prstGeom prst="flowChartDecision">
                                          <a:avLst/>
                                        </a:prstGeom>
                                        <a:solidFill>
                                          <a:srgbClr val="FFFFFF"/>
                                        </a:solidFill>
                                        <a:ln w="9525">
                                          <a:solidFill>
                                            <a:srgbClr val="000000"/>
                                          </a:solidFill>
                                          <a:miter lim="800000"/>
                                          <a:headEnd/>
                                          <a:tailEnd/>
                                        </a:ln>
                                      </wps:spPr>
                                      <wps:txbx>
                                        <w:txbxContent>
                                          <w:p w14:paraId="26B76271" w14:textId="77777777" w:rsidR="00345FC9" w:rsidRPr="00EB0792" w:rsidRDefault="00345FC9" w:rsidP="004874BF">
                                            <w:pPr>
                                              <w:jc w:val="center"/>
                                              <w:rPr>
                                                <w:sz w:val="12"/>
                                                <w:szCs w:val="12"/>
                                              </w:rPr>
                                            </w:pPr>
                                            <w:r w:rsidRPr="00EB0792">
                                              <w:rPr>
                                                <w:rFonts w:ascii="Bookman Old Style" w:eastAsia="Times New Roman" w:hAnsi="Bookman Old Style"/>
                                                <w:sz w:val="12"/>
                                                <w:szCs w:val="12"/>
                                              </w:rPr>
                                              <w:t>CES</w:t>
                                            </w:r>
                                          </w:p>
                                        </w:txbxContent>
                                      </wps:txbx>
                                      <wps:bodyPr rot="0" vert="horz" wrap="square" lIns="91440" tIns="45720" rIns="91440" bIns="45720" anchor="t" anchorCtr="0" upright="1">
                                        <a:noAutofit/>
                                      </wps:bodyPr>
                                    </wps:wsp>
                                    <wps:wsp>
                                      <wps:cNvPr id="133" name="AutoShape 31"/>
                                      <wps:cNvCnPr>
                                        <a:cxnSpLocks noChangeShapeType="1"/>
                                      </wps:cNvCnPr>
                                      <wps:spPr bwMode="auto">
                                        <a:xfrm>
                                          <a:off x="752196" y="660728"/>
                                          <a:ext cx="0" cy="127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33"/>
                                      <wps:cNvCnPr/>
                                      <wps:spPr bwMode="auto">
                                        <a:xfrm flipH="1">
                                          <a:off x="375285" y="0"/>
                                          <a:ext cx="30" cy="15012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135" name="AutoShape 27"/>
                                    <wps:cNvSpPr>
                                      <a:spLocks noChangeArrowheads="1"/>
                                    </wps:cNvSpPr>
                                    <wps:spPr bwMode="auto">
                                      <a:xfrm>
                                        <a:off x="0" y="1940943"/>
                                        <a:ext cx="600075" cy="314960"/>
                                      </a:xfrm>
                                      <a:prstGeom prst="flowChartAlternateProcess">
                                        <a:avLst/>
                                      </a:prstGeom>
                                      <a:solidFill>
                                        <a:srgbClr val="FFFFFF"/>
                                      </a:solidFill>
                                      <a:ln w="9525">
                                        <a:solidFill>
                                          <a:srgbClr val="000000"/>
                                        </a:solidFill>
                                        <a:miter lim="800000"/>
                                        <a:headEnd/>
                                        <a:tailEnd/>
                                      </a:ln>
                                    </wps:spPr>
                                    <wps:txbx>
                                      <w:txbxContent>
                                        <w:p w14:paraId="45F88E2B" w14:textId="77777777" w:rsidR="00345FC9" w:rsidRPr="00EB0792" w:rsidRDefault="00345FC9" w:rsidP="004874BF">
                                          <w:pPr>
                                            <w:pStyle w:val="BalloonText"/>
                                            <w:keepNext/>
                                            <w:keepLines/>
                                            <w:jc w:val="center"/>
                                            <w:rPr>
                                              <w:rFonts w:ascii="Bookman Old Style" w:hAnsi="Bookman Old Style"/>
                                              <w:sz w:val="12"/>
                                              <w:szCs w:val="12"/>
                                            </w:rPr>
                                          </w:pPr>
                                          <w:r>
                                            <w:rPr>
                                              <w:rFonts w:ascii="Bookman Old Style" w:hAnsi="Bookman Old Style"/>
                                              <w:sz w:val="12"/>
                                              <w:szCs w:val="12"/>
                                            </w:rPr>
                                            <w:t>Domestic good 52</w:t>
                                          </w:r>
                                        </w:p>
                                      </w:txbxContent>
                                    </wps:txbx>
                                    <wps:bodyPr rot="0" vert="horz" wrap="square" lIns="91440" tIns="45720" rIns="91440" bIns="45720" anchor="t" anchorCtr="0" upright="1">
                                      <a:noAutofit/>
                                    </wps:bodyPr>
                                  </wps:wsp>
                                  <wps:wsp>
                                    <wps:cNvPr id="136" name="AutoShape 29"/>
                                    <wps:cNvSpPr>
                                      <a:spLocks noChangeArrowheads="1"/>
                                    </wps:cNvSpPr>
                                    <wps:spPr bwMode="auto">
                                      <a:xfrm>
                                        <a:off x="733245" y="1932317"/>
                                        <a:ext cx="598805" cy="314960"/>
                                      </a:xfrm>
                                      <a:prstGeom prst="flowChartAlternateProcess">
                                        <a:avLst/>
                                      </a:prstGeom>
                                      <a:solidFill>
                                        <a:srgbClr val="FFFFFF"/>
                                      </a:solidFill>
                                      <a:ln w="9525">
                                        <a:solidFill>
                                          <a:srgbClr val="000000"/>
                                        </a:solidFill>
                                        <a:miter lim="800000"/>
                                        <a:headEnd/>
                                        <a:tailEnd/>
                                      </a:ln>
                                    </wps:spPr>
                                    <wps:txbx>
                                      <w:txbxContent>
                                        <w:p w14:paraId="2F37F4F3" w14:textId="77777777" w:rsidR="00345FC9" w:rsidRPr="00EB0792" w:rsidRDefault="00345FC9" w:rsidP="004874BF">
                                          <w:pPr>
                                            <w:pStyle w:val="BalloonText"/>
                                            <w:keepNext/>
                                            <w:keepLines/>
                                            <w:jc w:val="center"/>
                                            <w:rPr>
                                              <w:rFonts w:ascii="Bookman Old Style" w:hAnsi="Bookman Old Style"/>
                                              <w:sz w:val="12"/>
                                              <w:szCs w:val="12"/>
                                            </w:rPr>
                                          </w:pPr>
                                          <w:r>
                                            <w:rPr>
                                              <w:rFonts w:ascii="Bookman Old Style" w:hAnsi="Bookman Old Style"/>
                                              <w:sz w:val="12"/>
                                              <w:szCs w:val="12"/>
                                            </w:rPr>
                                            <w:t>Imported good 52</w:t>
                                          </w:r>
                                        </w:p>
                                      </w:txbxContent>
                                    </wps:txbx>
                                    <wps:bodyPr rot="0" vert="horz" wrap="square" lIns="91440" tIns="45720" rIns="91440" bIns="45720" anchor="t" anchorCtr="0" upright="1">
                                      <a:noAutofit/>
                                    </wps:bodyPr>
                                  </wps:wsp>
                                  <wps:wsp>
                                    <wps:cNvPr id="137" name="AutoShape 50"/>
                                    <wps:cNvSpPr>
                                      <a:spLocks noChangeArrowheads="1"/>
                                    </wps:cNvSpPr>
                                    <wps:spPr bwMode="auto">
                                      <a:xfrm>
                                        <a:off x="2156603" y="1302588"/>
                                        <a:ext cx="750570" cy="360045"/>
                                      </a:xfrm>
                                      <a:prstGeom prst="flowChartDecision">
                                        <a:avLst/>
                                      </a:prstGeom>
                                      <a:solidFill>
                                        <a:srgbClr val="FFFFFF"/>
                                      </a:solidFill>
                                      <a:ln w="9525">
                                        <a:solidFill>
                                          <a:srgbClr val="000000"/>
                                        </a:solidFill>
                                        <a:miter lim="800000"/>
                                        <a:headEnd/>
                                        <a:tailEnd/>
                                      </a:ln>
                                    </wps:spPr>
                                    <wps:txbx>
                                      <w:txbxContent>
                                        <w:p w14:paraId="36DFFE13" w14:textId="77777777" w:rsidR="00345FC9" w:rsidRPr="00EB0792" w:rsidRDefault="00345FC9" w:rsidP="004874BF">
                                          <w:pPr>
                                            <w:jc w:val="center"/>
                                            <w:rPr>
                                              <w:sz w:val="12"/>
                                              <w:szCs w:val="12"/>
                                            </w:rPr>
                                          </w:pPr>
                                          <w:r w:rsidRPr="00EB0792">
                                            <w:rPr>
                                              <w:rFonts w:ascii="Bookman Old Style" w:eastAsia="Times New Roman" w:hAnsi="Bookman Old Style"/>
                                              <w:sz w:val="12"/>
                                              <w:szCs w:val="12"/>
                                            </w:rPr>
                                            <w:t>CES</w:t>
                                          </w:r>
                                        </w:p>
                                      </w:txbxContent>
                                    </wps:txbx>
                                    <wps:bodyPr rot="0" vert="horz" wrap="square" lIns="91440" tIns="45720" rIns="91440" bIns="45720" anchor="t" anchorCtr="0" upright="1">
                                      <a:noAutofit/>
                                    </wps:bodyPr>
                                  </wps:wsp>
                                  <wps:wsp>
                                    <wps:cNvPr id="138" name="Line 30"/>
                                    <wps:cNvCnPr/>
                                    <wps:spPr bwMode="auto">
                                      <a:xfrm>
                                        <a:off x="2061713" y="2872596"/>
                                        <a:ext cx="8883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50"/>
                                    <wps:cNvSpPr>
                                      <a:spLocks noChangeArrowheads="1"/>
                                    </wps:cNvSpPr>
                                    <wps:spPr bwMode="auto">
                                      <a:xfrm>
                                        <a:off x="2156603" y="2363638"/>
                                        <a:ext cx="750570" cy="360045"/>
                                      </a:xfrm>
                                      <a:prstGeom prst="flowChartDecision">
                                        <a:avLst/>
                                      </a:prstGeom>
                                      <a:solidFill>
                                        <a:srgbClr val="FFFFFF"/>
                                      </a:solidFill>
                                      <a:ln w="9525">
                                        <a:solidFill>
                                          <a:srgbClr val="000000"/>
                                        </a:solidFill>
                                        <a:miter lim="800000"/>
                                        <a:headEnd/>
                                        <a:tailEnd/>
                                      </a:ln>
                                    </wps:spPr>
                                    <wps:txbx>
                                      <w:txbxContent>
                                        <w:p w14:paraId="3B7C5962" w14:textId="77777777" w:rsidR="00345FC9" w:rsidRPr="00EB0792" w:rsidRDefault="00345FC9" w:rsidP="004874BF">
                                          <w:pPr>
                                            <w:jc w:val="center"/>
                                            <w:rPr>
                                              <w:sz w:val="12"/>
                                              <w:szCs w:val="12"/>
                                            </w:rPr>
                                          </w:pPr>
                                          <w:r w:rsidRPr="00EB0792">
                                            <w:rPr>
                                              <w:rFonts w:ascii="Bookman Old Style" w:eastAsia="Times New Roman" w:hAnsi="Bookman Old Style"/>
                                              <w:sz w:val="12"/>
                                              <w:szCs w:val="12"/>
                                            </w:rPr>
                                            <w:t>CES</w:t>
                                          </w:r>
                                        </w:p>
                                      </w:txbxContent>
                                    </wps:txbx>
                                    <wps:bodyPr rot="0" vert="horz" wrap="square" lIns="91440" tIns="45720" rIns="91440" bIns="45720" anchor="t" anchorCtr="0" upright="1">
                                      <a:noAutofit/>
                                    </wps:bodyPr>
                                  </wps:wsp>
                                  <wps:wsp>
                                    <wps:cNvPr id="140" name="Line 33"/>
                                    <wps:cNvCnPr/>
                                    <wps:spPr bwMode="auto">
                                      <a:xfrm flipH="1">
                                        <a:off x="2536166" y="2234241"/>
                                        <a:ext cx="4233" cy="13123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1" name="AutoShape 50"/>
                                    <wps:cNvSpPr>
                                      <a:spLocks noChangeArrowheads="1"/>
                                    </wps:cNvSpPr>
                                    <wps:spPr bwMode="auto">
                                      <a:xfrm>
                                        <a:off x="543464" y="2579298"/>
                                        <a:ext cx="716915" cy="360045"/>
                                      </a:xfrm>
                                      <a:prstGeom prst="flowChartDecision">
                                        <a:avLst/>
                                      </a:prstGeom>
                                      <a:solidFill>
                                        <a:srgbClr val="FFFFFF"/>
                                      </a:solidFill>
                                      <a:ln w="9525">
                                        <a:solidFill>
                                          <a:srgbClr val="000000"/>
                                        </a:solidFill>
                                        <a:miter lim="800000"/>
                                        <a:headEnd/>
                                        <a:tailEnd/>
                                      </a:ln>
                                    </wps:spPr>
                                    <wps:txbx>
                                      <w:txbxContent>
                                        <w:p w14:paraId="754115E8" w14:textId="77777777" w:rsidR="00345FC9" w:rsidRPr="00EB0792" w:rsidRDefault="00345FC9" w:rsidP="004874BF">
                                          <w:pPr>
                                            <w:jc w:val="center"/>
                                            <w:rPr>
                                              <w:sz w:val="12"/>
                                              <w:szCs w:val="12"/>
                                            </w:rPr>
                                          </w:pPr>
                                          <w:r w:rsidRPr="00EB0792">
                                            <w:rPr>
                                              <w:rFonts w:ascii="Bookman Old Style" w:eastAsia="Times New Roman" w:hAnsi="Bookman Old Style"/>
                                              <w:sz w:val="12"/>
                                              <w:szCs w:val="12"/>
                                            </w:rPr>
                                            <w:t>CES</w:t>
                                          </w:r>
                                        </w:p>
                                      </w:txbxContent>
                                    </wps:txbx>
                                    <wps:bodyPr rot="0" vert="horz" wrap="square" lIns="91440" tIns="45720" rIns="91440" bIns="45720" anchor="t" anchorCtr="0" upright="1">
                                      <a:noAutofit/>
                                    </wps:bodyPr>
                                  </wps:wsp>
                                  <wps:wsp>
                                    <wps:cNvPr id="142" name="Line 30"/>
                                    <wps:cNvCnPr/>
                                    <wps:spPr bwMode="auto">
                                      <a:xfrm>
                                        <a:off x="543464" y="3088256"/>
                                        <a:ext cx="7169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2"/>
                                    <wps:cNvSpPr>
                                      <a:spLocks noChangeArrowheads="1"/>
                                    </wps:cNvSpPr>
                                    <wps:spPr bwMode="auto">
                                      <a:xfrm>
                                        <a:off x="189781" y="3252158"/>
                                        <a:ext cx="657627" cy="321310"/>
                                      </a:xfrm>
                                      <a:prstGeom prst="flowChartAlternateProcess">
                                        <a:avLst/>
                                      </a:prstGeom>
                                      <a:solidFill>
                                        <a:srgbClr val="FFFFFF"/>
                                      </a:solidFill>
                                      <a:ln w="9525">
                                        <a:solidFill>
                                          <a:srgbClr val="000000"/>
                                        </a:solidFill>
                                        <a:miter lim="800000"/>
                                        <a:headEnd/>
                                        <a:tailEnd/>
                                      </a:ln>
                                    </wps:spPr>
                                    <wps:txbx>
                                      <w:txbxContent>
                                        <w:p w14:paraId="5A4E963E" w14:textId="77777777" w:rsidR="00345FC9" w:rsidRPr="00EB0792" w:rsidRDefault="00345FC9" w:rsidP="004874BF">
                                          <w:pPr>
                                            <w:pStyle w:val="BalloonText"/>
                                            <w:keepNext/>
                                            <w:keepLines/>
                                            <w:jc w:val="center"/>
                                            <w:rPr>
                                              <w:rFonts w:ascii="Bookman Old Style" w:hAnsi="Bookman Old Style"/>
                                              <w:sz w:val="12"/>
                                              <w:szCs w:val="12"/>
                                            </w:rPr>
                                          </w:pPr>
                                          <w:r>
                                            <w:rPr>
                                              <w:rFonts w:ascii="Bookman Old Style" w:hAnsi="Bookman Old Style"/>
                                              <w:sz w:val="12"/>
                                              <w:szCs w:val="12"/>
                                            </w:rPr>
                                            <w:t>Generation</w:t>
                                          </w:r>
                                        </w:p>
                                        <w:p w14:paraId="13E69DCB" w14:textId="77777777" w:rsidR="00345FC9" w:rsidRPr="00EB0792" w:rsidRDefault="00345FC9" w:rsidP="004874BF">
                                          <w:pPr>
                                            <w:pStyle w:val="BalloonText"/>
                                            <w:keepNext/>
                                            <w:keepLines/>
                                            <w:jc w:val="center"/>
                                            <w:rPr>
                                              <w:rFonts w:ascii="Bookman Old Style" w:hAnsi="Bookman Old Style"/>
                                              <w:sz w:val="12"/>
                                              <w:szCs w:val="12"/>
                                            </w:rPr>
                                          </w:pPr>
                                          <w:proofErr w:type="gramStart"/>
                                          <w:r>
                                            <w:rPr>
                                              <w:rFonts w:ascii="Bookman Old Style" w:hAnsi="Bookman Old Style"/>
                                              <w:sz w:val="12"/>
                                              <w:szCs w:val="12"/>
                                            </w:rPr>
                                            <w:t>type</w:t>
                                          </w:r>
                                          <w:proofErr w:type="gramEnd"/>
                                          <w:r>
                                            <w:rPr>
                                              <w:rFonts w:ascii="Bookman Old Style" w:hAnsi="Bookman Old Style"/>
                                              <w:sz w:val="12"/>
                                              <w:szCs w:val="12"/>
                                            </w:rPr>
                                            <w:t xml:space="preserve"> 1</w:t>
                                          </w:r>
                                        </w:p>
                                      </w:txbxContent>
                                    </wps:txbx>
                                    <wps:bodyPr rot="0" vert="horz" wrap="square" lIns="91440" tIns="45720" rIns="91440" bIns="45720" anchor="t" anchorCtr="0" upright="1">
                                      <a:noAutofit/>
                                    </wps:bodyPr>
                                  </wps:wsp>
                                  <wps:wsp>
                                    <wps:cNvPr id="144" name="AutoShape 12"/>
                                    <wps:cNvSpPr>
                                      <a:spLocks noChangeArrowheads="1"/>
                                    </wps:cNvSpPr>
                                    <wps:spPr bwMode="auto">
                                      <a:xfrm>
                                        <a:off x="923026" y="3252158"/>
                                        <a:ext cx="676249" cy="321310"/>
                                      </a:xfrm>
                                      <a:prstGeom prst="flowChartAlternateProcess">
                                        <a:avLst/>
                                      </a:prstGeom>
                                      <a:solidFill>
                                        <a:srgbClr val="FFFFFF"/>
                                      </a:solidFill>
                                      <a:ln w="9525">
                                        <a:solidFill>
                                          <a:srgbClr val="000000"/>
                                        </a:solidFill>
                                        <a:miter lim="800000"/>
                                        <a:headEnd/>
                                        <a:tailEnd/>
                                      </a:ln>
                                    </wps:spPr>
                                    <wps:txbx>
                                      <w:txbxContent>
                                        <w:p w14:paraId="69647590" w14:textId="77777777" w:rsidR="00345FC9" w:rsidRPr="00EB0792" w:rsidRDefault="00345FC9" w:rsidP="004874BF">
                                          <w:pPr>
                                            <w:pStyle w:val="BalloonText"/>
                                            <w:keepNext/>
                                            <w:keepLines/>
                                            <w:jc w:val="center"/>
                                            <w:rPr>
                                              <w:rFonts w:ascii="Bookman Old Style" w:hAnsi="Bookman Old Style"/>
                                              <w:sz w:val="12"/>
                                              <w:szCs w:val="12"/>
                                            </w:rPr>
                                          </w:pPr>
                                          <w:r>
                                            <w:rPr>
                                              <w:rFonts w:ascii="Bookman Old Style" w:hAnsi="Bookman Old Style"/>
                                              <w:sz w:val="12"/>
                                              <w:szCs w:val="12"/>
                                            </w:rPr>
                                            <w:t>Generation</w:t>
                                          </w:r>
                                        </w:p>
                                        <w:p w14:paraId="4DFEF30C" w14:textId="77777777" w:rsidR="00345FC9" w:rsidRPr="00EB0792" w:rsidRDefault="00345FC9" w:rsidP="004874BF">
                                          <w:pPr>
                                            <w:pStyle w:val="BalloonText"/>
                                            <w:keepNext/>
                                            <w:keepLines/>
                                            <w:jc w:val="center"/>
                                            <w:rPr>
                                              <w:rFonts w:ascii="Bookman Old Style" w:hAnsi="Bookman Old Style"/>
                                              <w:sz w:val="12"/>
                                              <w:szCs w:val="12"/>
                                            </w:rPr>
                                          </w:pPr>
                                          <w:proofErr w:type="gramStart"/>
                                          <w:r>
                                            <w:rPr>
                                              <w:rFonts w:ascii="Bookman Old Style" w:hAnsi="Bookman Old Style"/>
                                              <w:sz w:val="12"/>
                                              <w:szCs w:val="12"/>
                                            </w:rPr>
                                            <w:t>type</w:t>
                                          </w:r>
                                          <w:proofErr w:type="gramEnd"/>
                                          <w:r>
                                            <w:rPr>
                                              <w:rFonts w:ascii="Bookman Old Style" w:hAnsi="Bookman Old Style"/>
                                              <w:sz w:val="12"/>
                                              <w:szCs w:val="12"/>
                                            </w:rPr>
                                            <w:t xml:space="preserve"> 8</w:t>
                                          </w:r>
                                        </w:p>
                                      </w:txbxContent>
                                    </wps:txbx>
                                    <wps:bodyPr rot="0" vert="horz" wrap="square" lIns="91440" tIns="45720" rIns="91440" bIns="45720" anchor="t" anchorCtr="0" upright="1">
                                      <a:noAutofit/>
                                    </wps:bodyPr>
                                  </wps:wsp>
                                  <wps:wsp>
                                    <wps:cNvPr id="145" name="AutoShape 49"/>
                                    <wps:cNvSpPr>
                                      <a:spLocks noChangeArrowheads="1"/>
                                    </wps:cNvSpPr>
                                    <wps:spPr bwMode="auto">
                                      <a:xfrm>
                                        <a:off x="1207698" y="854015"/>
                                        <a:ext cx="779628" cy="306705"/>
                                      </a:xfrm>
                                      <a:prstGeom prst="flowChartAlternateProcess">
                                        <a:avLst/>
                                      </a:prstGeom>
                                      <a:solidFill>
                                        <a:srgbClr val="FFFFFF"/>
                                      </a:solidFill>
                                      <a:ln w="9525">
                                        <a:solidFill>
                                          <a:srgbClr val="000000"/>
                                        </a:solidFill>
                                        <a:miter lim="800000"/>
                                        <a:headEnd/>
                                        <a:tailEnd/>
                                      </a:ln>
                                    </wps:spPr>
                                    <wps:txbx>
                                      <w:txbxContent>
                                        <w:p w14:paraId="60F49FCF" w14:textId="77777777" w:rsidR="00345FC9" w:rsidRPr="00EB0792" w:rsidRDefault="00345FC9" w:rsidP="004874BF">
                                          <w:pPr>
                                            <w:pStyle w:val="BalloonText"/>
                                            <w:keepNext/>
                                            <w:keepLines/>
                                            <w:jc w:val="center"/>
                                            <w:rPr>
                                              <w:rFonts w:ascii="Bookman Old Style" w:hAnsi="Bookman Old Style"/>
                                              <w:sz w:val="12"/>
                                              <w:szCs w:val="12"/>
                                            </w:rPr>
                                          </w:pPr>
                                          <w:r>
                                            <w:rPr>
                                              <w:rFonts w:ascii="Bookman Old Style" w:hAnsi="Bookman Old Style"/>
                                              <w:sz w:val="12"/>
                                              <w:szCs w:val="12"/>
                                            </w:rPr>
                                            <w:t>Electricity composite good</w:t>
                                          </w:r>
                                          <w:r w:rsidRPr="00EB0792">
                                            <w:rPr>
                                              <w:rFonts w:ascii="Bookman Old Style" w:hAnsi="Bookman Old Style"/>
                                              <w:sz w:val="12"/>
                                              <w:szCs w:val="12"/>
                                            </w:rPr>
                                            <w:t xml:space="preserve"> factors</w:t>
                                          </w:r>
                                        </w:p>
                                      </w:txbxContent>
                                    </wps:txbx>
                                    <wps:bodyPr rot="0" vert="horz" wrap="square" lIns="91440" tIns="45720" rIns="91440" bIns="45720" anchor="t" anchorCtr="0" upright="1">
                                      <a:noAutofit/>
                                    </wps:bodyPr>
                                  </wps:wsp>
                                </wpg:grpSp>
                              </wpg:grpSp>
                              <wps:wsp>
                                <wps:cNvPr id="146" name="Line 25"/>
                                <wps:cNvCnPr/>
                                <wps:spPr bwMode="auto">
                                  <a:xfrm>
                                    <a:off x="2898476" y="992038"/>
                                    <a:ext cx="0" cy="13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71" o:spid="_x0000_s1026" style="position:absolute;left:0;text-align:left;margin-left:37.25pt;margin-top:2.2pt;width:376.8pt;height:303.1pt;z-index:251659264" coordsize="47852,3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">
                <v:shapetype id="_x0000_t32" coordsize="21600,21600" o:spt="32" o:oned="t" path="m,l21600,21600e" filled="f">
                  <v:path arrowok="t" fillok="f" o:connecttype="none"/>
                  <o:lock v:ext="edit" shapetype="t"/>
                </v:shapetype>
                <v:shape id="AutoShape 31" o:spid="_x0000_s1027" type="#_x0000_t32" style="position:absolute;left:34419;top:31486;width:0;height:1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line id="Line 33" o:spid="_x0000_s1028" style="position:absolute;visibility:visible;mso-wrap-style:square" from="39163,30019" to="39163,3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AsMAAADbAAAADwAAAGRycy9kb3ducmV2LnhtbESPW4vCMBSE3wX/QziCb5rqipdqFBEW&#10;xAXBG/h4bM62ZZuT0kSt/nqzIPg4zMw3zGxRm0LcqHK5ZQW9bgSCOLE651TB8fDdGYNwHlljYZkU&#10;PMjBYt5szDDW9s47uu19KgKEXYwKMu/LWEqXZGTQdW1JHLxfWxn0QVap1BXeA9wUsh9FQ2kw57CQ&#10;YUmrjJK//dUoQLl6+vGu/hlMTkaet8vh6fLcKNVu1cspCE+1/4Tf7bVWMPqC/y/hB8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qKwLDAAAA2wAAAA8AAAAAAAAAAAAA&#10;AAAAoQIAAGRycy9kb3ducmV2LnhtbFBLBQYAAAAABAAEAPkAAACRAwAAAAA=&#10;">
                  <v:stroke startarrow="block"/>
                </v:line>
                <v:shape id="AutoShape 31" o:spid="_x0000_s1029" type="#_x0000_t32" style="position:absolute;left:43304;top:31486;width:0;height:1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id="Group 75" o:spid="_x0000_s1030" style="position:absolute;width:47852;height:38495" coordsize="47852,38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Line 30" o:spid="_x0000_s1031" style="position:absolute;visibility:visible;mso-wrap-style:square" from="33297,20530" to="45020,20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shape id="AutoShape 31" o:spid="_x0000_s1032" type="#_x0000_t32" style="position:absolute;left:33297;top:20530;width:0;height:1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line id="Line 33" o:spid="_x0000_s1033" style="position:absolute;visibility:visible;mso-wrap-style:square" from="39163,19323" to="39163,20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65c8EAAADbAAAADwAAAGRycy9kb3ducmV2LnhtbERPy4rCMBTdC/MP4Q6403QG0VobRQRB&#10;HBB8gctrc6ct09yUJtaOX28WgsvDeaeLzlSipcaVlhV8DSMQxJnVJecKTsf1IAbhPLLGyjIp+CcH&#10;i/lHL8VE2zvvqT34XIQQdgkqKLyvEyldVpBBN7Q1ceB+bWPQB9jkUjd4D+Gmkt9RNJYGSw4NBda0&#10;Kij7O9yMApSrh4/33c9oejbysluOz9fHVqn+Z7ecgfDU+bf45d5oBZMwNnw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TrlzwQAAANsAAAAPAAAAAAAAAAAAAAAA&#10;AKECAABkcnMvZG93bnJldi54bWxQSwUGAAAAAAQABAD5AAAAjwMAAAAA&#10;">
                    <v:stroke startarrow="block"/>
                  </v:line>
                  <v:shape id="AutoShape 31" o:spid="_x0000_s1034" type="#_x0000_t32" style="position:absolute;left:44943;top:20530;width:0;height:1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31" o:spid="_x0000_s1035" type="#_x0000_t32" style="position:absolute;left:39163;top:20444;width:0;height:1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group id="Group 81" o:spid="_x0000_s1036" style="position:absolute;width:47852;height:38495" coordsize="47852,38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Line 33" o:spid="_x0000_s1037" style="position:absolute;visibility:visible;mso-wrap-style:square" from="39163,14406" to="39167,15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P+vsUAAADbAAAADwAAAGRycy9kb3ducmV2LnhtbESPQWvCQBSE7wX/w/IK3nRTkZCm2YQg&#10;CEVB0Fbo8TX7moRm34bsVmN+fbcg9DjMzDdMVoymExcaXGtZwdMyAkFcWd1yreD9bbtIQDiPrLGz&#10;TApu5KDIZw8Zptpe+UiXk69FgLBLUUHjfZ9K6aqGDLql7YmD92UHgz7IoZZ6wGuAm06uoiiWBlsO&#10;Cw32tGmo+j79GAUoN5NPjuN+/Xw28uNQxufPaafU/HEsX0B4Gv1/+N5+1QqSFfx9CT9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P+vsUAAADbAAAADwAAAAAAAAAA&#10;AAAAAAChAgAAZHJzL2Rvd25yZXYueG1sUEsFBgAAAAAEAAQA+QAAAJMDAAAAAA==&#10;">
                      <v:stroke startarrow="block"/>
                    </v:line>
                    <v:line id="Line 33" o:spid="_x0000_s1038" style="position:absolute;visibility:visible;mso-wrap-style:square" from="28898,14319" to="28898,15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9bJcMAAADbAAAADwAAAGRycy9kb3ducmV2LnhtbESPQYvCMBSE7wv+h/AEb2uqLlKrUUQQ&#10;xAVBV8Hjs3m2xealNFGrv94Iwh6HmfmGmcwaU4ob1a6wrKDXjUAQp1YXnCnY/y2/YxDOI2ssLZOC&#10;BzmYTVtfE0y0vfOWbjufiQBhl6CC3PsqkdKlORl0XVsRB+9sa4M+yDqTusZ7gJtS9qNoKA0WHBZy&#10;rGiRU3rZXY0ClIunj7fN78/oYORxMx8eTs+1Up12Mx+D8NT4//CnvdIK4gG8v4QfIK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WyXDAAAA2wAAAA8AAAAAAAAAAAAA&#10;AAAAoQIAAGRycy9kb3ducmV2LnhtbFBLBQYAAAAABAAEAPkAAACRAwAAAAA=&#10;">
                      <v:stroke startarrow="block"/>
                    </v:line>
                    <v:group id="Group 85" o:spid="_x0000_s1039" style="position:absolute;width:47852;height:38495" coordsize="47852,38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25" o:spid="_x0000_s1040" style="position:absolute;visibility:visible;mso-wrap-style:square" from="28898,15182" to="28898,27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Line 25" o:spid="_x0000_s1041" type="#_x0000_t38" style="position:absolute;left:22773;top:27173;width:6141;height:0;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TV8QAAADbAAAADwAAAGRycy9kb3ducmV2LnhtbESPwWrDMBBE74X8g9hAbo1cE5zEjWKS&#10;QEsvLYnTD1isjW1qrYykOvbfV4VCj8PMvGF2xWg6MZDzrWUFT8sEBHFldcu1gs/ry+MGhA/IGjvL&#10;pGAiD8V+9rDDXNs7X2goQy0ihH2OCpoQ+lxKXzVk0C9tTxy9m3UGQ5SultrhPcJNJ9MkyaTBluNC&#10;gz2dGqq+ym+joDy+n9ar88dQZa+31F23bU/DpNRiPh6eQQQaw3/4r/2mFWzW8Psl/g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NXxAAAANsAAAAPAAAAAAAAAAAA&#10;AAAAAKECAABkcnMvZG93bnJldi54bWxQSwUGAAAAAAQABAD5AAAAkgMAAAAA&#10;" adj="10800"/>
                      <v:line id="Line 25" o:spid="_x0000_s1042" style="position:absolute;visibility:visible;mso-wrap-style:square" from="22773,27173" to="22773,28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33" o:spid="_x0000_s1043" style="position:absolute;visibility:visible;mso-wrap-style:square" from="22773,32176" to="22773,33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sz8UAAADbAAAADwAAAGRycy9kb3ducmV2LnhtbESPQWvCQBSE7wX/w/IEb3XTIiGmboII&#10;haIgaCt4fGZfk9Ds25DdJjG/vlso9DjMzDfMJh9NI3rqXG1ZwdMyAkFcWF1zqeDj/fUxAeE8ssbG&#10;Mim4k4M8mz1sMNV24BP1Z1+KAGGXooLK+zaV0hUVGXRL2xIH79N2Bn2QXSl1h0OAm0Y+R1EsDdYc&#10;FipsaVdR8XX+NgpQ7iafnMbDan0x8nrcxpfbtFdqMR+3LyA8jf4//Nd+0wqSNfx+CT9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9dsz8UAAADbAAAADwAAAAAAAAAA&#10;AAAAAAChAgAAZHJzL2Rvd25yZXYueG1sUEsFBgAAAAAEAAQA+QAAAJMDAAAAAA==&#10;">
                        <v:stroke startarrow="block"/>
                      </v:line>
                      <v:shape id="AutoShape 31" o:spid="_x0000_s1044" type="#_x0000_t32" style="position:absolute;left:19236;top:33729;width:0;height:1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31" o:spid="_x0000_s1045" type="#_x0000_t32" style="position:absolute;left:26396;top:33643;width:0;height:16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group id="Group 92" o:spid="_x0000_s1046" style="position:absolute;width:47852;height:38495" coordsize="47852,38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line id="Line 9" o:spid="_x0000_s1047" style="position:absolute;flip:y;visibility:visible;mso-wrap-style:square" from="23463,8453" to="23463,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4VX8QAAADbAAAADwAAAGRycy9kb3ducmV2LnhtbESPQWvCQBCF70L/wzKFXoJubKDU6Cqt&#10;VhBKD009eByy0yQ0Oxuyo6b/3hUEj48373vzFqvBtepEfWg8G5hOUlDEpbcNVwb2P9vxK6ggyBZb&#10;z2TgnwKslg+jBebWn/mbToVUKkI45GigFulyrUNZk8Mw8R1x9H5971Ci7CttezxHuGv1c5q+aIcN&#10;x4YaO1rXVP4VRxff2H7xJsuSd6eTZEYfB/lMtRjz9Di8zUEJDXI/vqV31sAs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HhVfxAAAANsAAAAPAAAAAAAAAAAA&#10;AAAAAKECAABkcnMvZG93bnJldi54bWxQSwUGAAAAAAQABAD5AAAAkgMAAAAA&#10;">
                          <v:stroke endarrow="block"/>
                        </v:line>
                        <v:shape id="Line 22" o:spid="_x0000_s1048" type="#_x0000_t32" style="position:absolute;left:6556;top:9834;width:32594;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line id="Line 25" o:spid="_x0000_s1049" style="position:absolute;visibility:visible;mso-wrap-style:square" from="20272,9834" to="20272,1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25" o:spid="_x0000_s1050" style="position:absolute;visibility:visible;mso-wrap-style:square" from="39163,9920" to="39163,1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25" o:spid="_x0000_s1051" style="position:absolute;visibility:visible;mso-wrap-style:square" from="6556,9834" to="6556,1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group id="Group 99" o:spid="_x0000_s1052" style="position:absolute;width:47852;height:38495" coordsize="47852,38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type id="_x0000_t202" coordsize="21600,21600" o:spt="202" path="m,l,21600r21600,l21600,xe">
                            <v:stroke joinstyle="miter"/>
                            <v:path gradientshapeok="t" o:connecttype="rect"/>
                          </v:shapetype>
                          <v:shape id="Text Box 19" o:spid="_x0000_s1053" type="#_x0000_t202" style="position:absolute;left:1035;top:28122;width:12484;height:9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14:paraId="7137E071" w14:textId="77777777" w:rsidR="00345FC9" w:rsidRPr="00CD456B" w:rsidRDefault="00345FC9" w:rsidP="004874BF">
                                  <w:pPr>
                                    <w:jc w:val="center"/>
                                    <w:rPr>
                                      <w:rFonts w:ascii="Bookman Old Style" w:hAnsi="Bookman Old Style"/>
                                      <w:sz w:val="12"/>
                                      <w:szCs w:val="12"/>
                                    </w:rPr>
                                  </w:pPr>
                                  <w:r w:rsidRPr="00CD456B">
                                    <w:rPr>
                                      <w:rFonts w:ascii="Bookman Old Style" w:hAnsi="Bookman Old Style"/>
                                      <w:noProof/>
                                      <w:sz w:val="12"/>
                                      <w:szCs w:val="12"/>
                                      <w:lang w:eastAsia="en-ZA"/>
                                    </w:rPr>
                                    <w:drawing>
                                      <wp:inline distT="0" distB="0" distL="0" distR="0" wp14:anchorId="7247973E" wp14:editId="3F821B16">
                                        <wp:extent cx="782658" cy="4068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7869" cy="409575"/>
                                                </a:xfrm>
                                                <a:prstGeom prst="rect">
                                                  <a:avLst/>
                                                </a:prstGeom>
                                                <a:noFill/>
                                                <a:ln>
                                                  <a:noFill/>
                                                </a:ln>
                                              </pic:spPr>
                                            </pic:pic>
                                          </a:graphicData>
                                        </a:graphic>
                                      </wp:inline>
                                    </w:drawing>
                                  </w:r>
                                </w:p>
                                <w:p w14:paraId="07AA3ACD" w14:textId="77777777" w:rsidR="00345FC9" w:rsidRPr="00EB0792" w:rsidRDefault="00345FC9" w:rsidP="004874BF">
                                  <w:pPr>
                                    <w:ind w:left="-142"/>
                                    <w:jc w:val="center"/>
                                    <w:rPr>
                                      <w:sz w:val="12"/>
                                      <w:szCs w:val="12"/>
                                    </w:rPr>
                                  </w:pPr>
                                  <w:r>
                                    <w:rPr>
                                      <w:noProof/>
                                      <w:sz w:val="12"/>
                                      <w:szCs w:val="12"/>
                                      <w:lang w:eastAsia="en-ZA"/>
                                    </w:rPr>
                                    <w:t xml:space="preserve">     </w:t>
                                  </w:r>
                                </w:p>
                                <w:p w14:paraId="289E85BE" w14:textId="77777777" w:rsidR="00345FC9" w:rsidRPr="00EB0792" w:rsidRDefault="00345FC9" w:rsidP="004874BF">
                                  <w:pPr>
                                    <w:jc w:val="center"/>
                                    <w:rPr>
                                      <w:sz w:val="12"/>
                                      <w:szCs w:val="12"/>
                                    </w:rPr>
                                  </w:pP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54" type="#_x0000_t176" style="position:absolute;left:16994;width:12579;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shcIA&#10;AADcAAAADwAAAGRycy9kb3ducmV2LnhtbERPTWvCQBC9C/0PyxR6001aUJu6ilQUD16MQq/T7DQb&#10;mp0N2TVGf70rCN7m8T5ntuhtLTpqfeVYQTpKQBAXTldcKjge1sMpCB+QNdaOScGFPCzmL4MZZtqd&#10;eU9dHkoRQ9hnqMCE0GRS+sKQRT9yDXHk/lxrMUTYllK3eI7htpbvSTKWFiuODQYb+jZU/Ocnq6Df&#10;XX8/T5u0yIOZjic/H91qeZRKvb32yy8QgfrwFD/cWx3nJyncn4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uyFwgAAANwAAAAPAAAAAAAAAAAAAAAAAJgCAABkcnMvZG93&#10;bnJldi54bWxQSwUGAAAAAAQABAD1AAAAhwMAAAAA&#10;">
                            <v:textbox>
                              <w:txbxContent>
                                <w:p w14:paraId="4129DC4C" w14:textId="77777777" w:rsidR="00345FC9" w:rsidRPr="00EB0792" w:rsidRDefault="00345FC9" w:rsidP="004874BF">
                                  <w:pPr>
                                    <w:pStyle w:val="BalloonText"/>
                                    <w:keepNext/>
                                    <w:keepLines/>
                                    <w:spacing w:line="288" w:lineRule="auto"/>
                                    <w:jc w:val="center"/>
                                    <w:rPr>
                                      <w:rFonts w:ascii="Bookman Old Style" w:hAnsi="Bookman Old Style"/>
                                      <w:sz w:val="12"/>
                                      <w:szCs w:val="12"/>
                                    </w:rPr>
                                  </w:pPr>
                                  <w:r>
                                    <w:rPr>
                                      <w:rFonts w:ascii="Bookman Old Style" w:hAnsi="Bookman Old Style"/>
                                      <w:sz w:val="12"/>
                                      <w:szCs w:val="12"/>
                                    </w:rPr>
                                    <w:t>Industry output in modified UPGEM</w:t>
                                  </w:r>
                                </w:p>
                              </w:txbxContent>
                            </v:textbox>
                          </v:shape>
                          <v:shape id="Text Box 4" o:spid="_x0000_s1055" type="#_x0000_t202" style="position:absolute;left:11041;top:11731;width:524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0/cIA&#10;AADcAAAADwAAAGRycy9kb3ducmV2LnhtbERPzWrCQBC+F/oOyxS8lGZTsVGjm1CFFq+mPsAkOybB&#10;7GzIria+fVco9DYf3+9s88l04kaDay0reI9iEMSV1S3XCk4/X28rEM4ja+wsk4I7Ociz56ctptqO&#10;fKRb4WsRQtilqKDxvk+ldFVDBl1ke+LAne1g0Ac41FIPOIZw08l5HCfSYMuhocGe9g1Vl+JqFJwP&#10;4+vHeiy//Wl5XCQ7bJelvSs1e5k+NyA8Tf5f/Oc+6DA/nsPj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nT9wgAAANwAAAAPAAAAAAAAAAAAAAAAAJgCAABkcnMvZG93&#10;bnJldi54bWxQSwUGAAAAAAQABAD1AAAAhwMAAAAA&#10;" stroked="f">
                            <v:textbox>
                              <w:txbxContent>
                                <w:p w14:paraId="3F9D6576" w14:textId="77777777" w:rsidR="00345FC9" w:rsidRPr="00EB0792" w:rsidRDefault="00345FC9" w:rsidP="004874BF">
                                  <w:pPr>
                                    <w:pStyle w:val="BalloonText"/>
                                    <w:keepNext/>
                                    <w:keepLines/>
                                    <w:rPr>
                                      <w:rFonts w:ascii="Bookman Old Style" w:hAnsi="Bookman Old Style"/>
                                      <w:sz w:val="12"/>
                                      <w:szCs w:val="12"/>
                                    </w:rPr>
                                  </w:pPr>
                                  <w:r w:rsidRPr="00EB0792">
                                    <w:rPr>
                                      <w:rFonts w:ascii="Bookman Old Style" w:hAnsi="Bookman Old Style"/>
                                      <w:sz w:val="12"/>
                                      <w:szCs w:val="12"/>
                                    </w:rPr>
                                    <w:t>--</w:t>
                                  </w:r>
                                  <w:proofErr w:type="gramStart"/>
                                  <w:r w:rsidRPr="00EB0792">
                                    <w:rPr>
                                      <w:rFonts w:ascii="Bookman Old Style" w:hAnsi="Bookman Old Style"/>
                                      <w:sz w:val="12"/>
                                      <w:szCs w:val="12"/>
                                    </w:rPr>
                                    <w:t>up</w:t>
                                  </w:r>
                                  <w:proofErr w:type="gramEnd"/>
                                  <w:r w:rsidRPr="00EB0792">
                                    <w:rPr>
                                      <w:rFonts w:ascii="Bookman Old Style" w:hAnsi="Bookman Old Style"/>
                                      <w:sz w:val="12"/>
                                      <w:szCs w:val="12"/>
                                    </w:rPr>
                                    <w:t xml:space="preserve"> to--</w:t>
                                  </w:r>
                                </w:p>
                              </w:txbxContent>
                            </v:textbox>
                          </v:shape>
                          <v:shape id="AutoShape 8" o:spid="_x0000_s1056" type="#_x0000_t176" style="position:absolute;left:2156;top:11214;width:8890;height:3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XacMA&#10;AADcAAAADwAAAGRycy9kb3ducmV2LnhtbERPTWvCQBC9C/0PyxS86UYFTVNXkYrioRdToddpdpoN&#10;zc6G7Bqjv74rCN7m8T5nue5tLTpqfeVYwWScgCAunK64VHD62o1SED4ga6wdk4IreVivXgZLzLS7&#10;8JG6PJQihrDPUIEJocmk9IUhi37sGuLI/brWYoiwLaVu8RLDbS2nSTKXFiuODQYb+jBU/OVnq6D/&#10;vP28nfeTIg8mnS++Z912c5JKDV/7zTuIQH14ih/ug47zkxncn4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TXacMAAADcAAAADwAAAAAAAAAAAAAAAACYAgAAZHJzL2Rv&#10;d25yZXYueG1sUEsFBgAAAAAEAAQA9QAAAIgDAAAAAA==&#10;">
                            <v:textbox>
                              <w:txbxContent>
                                <w:p w14:paraId="7D52B4E8" w14:textId="77777777" w:rsidR="00345FC9" w:rsidRDefault="00345FC9" w:rsidP="004874BF">
                                  <w:pPr>
                                    <w:pStyle w:val="BalloonText"/>
                                    <w:keepNext/>
                                    <w:keepLines/>
                                    <w:jc w:val="center"/>
                                    <w:rPr>
                                      <w:rFonts w:ascii="Bookman Old Style" w:hAnsi="Bookman Old Style"/>
                                      <w:sz w:val="12"/>
                                      <w:szCs w:val="12"/>
                                    </w:rPr>
                                  </w:pPr>
                                  <w:r w:rsidRPr="00EB0792">
                                    <w:rPr>
                                      <w:rFonts w:ascii="Bookman Old Style" w:hAnsi="Bookman Old Style"/>
                                      <w:sz w:val="12"/>
                                      <w:szCs w:val="12"/>
                                    </w:rPr>
                                    <w:t>Intermediate</w:t>
                                  </w:r>
                                </w:p>
                                <w:p w14:paraId="68F3293B" w14:textId="77777777" w:rsidR="00345FC9" w:rsidRPr="00EB0792" w:rsidRDefault="00345FC9" w:rsidP="004874BF">
                                  <w:pPr>
                                    <w:pStyle w:val="BalloonText"/>
                                    <w:keepNext/>
                                    <w:keepLines/>
                                    <w:jc w:val="center"/>
                                    <w:rPr>
                                      <w:rFonts w:ascii="Bookman Old Style" w:hAnsi="Bookman Old Style"/>
                                      <w:sz w:val="12"/>
                                      <w:szCs w:val="12"/>
                                    </w:rPr>
                                  </w:pPr>
                                  <w:proofErr w:type="gramStart"/>
                                  <w:r w:rsidRPr="00EB0792">
                                    <w:rPr>
                                      <w:rFonts w:ascii="Bookman Old Style" w:hAnsi="Bookman Old Style"/>
                                      <w:sz w:val="12"/>
                                      <w:szCs w:val="12"/>
                                    </w:rPr>
                                    <w:t>composite</w:t>
                                  </w:r>
                                  <w:proofErr w:type="gramEnd"/>
                                  <w:r w:rsidRPr="00EB0792">
                                    <w:rPr>
                                      <w:rFonts w:ascii="Bookman Old Style" w:hAnsi="Bookman Old Style"/>
                                      <w:sz w:val="12"/>
                                      <w:szCs w:val="12"/>
                                    </w:rPr>
                                    <w:t xml:space="preserve"> good 1</w:t>
                                  </w:r>
                                </w:p>
                              </w:txbxContent>
                            </v:textbox>
                          </v:shape>
                          <v:shape id="AutoShape 27" o:spid="_x0000_s1057" type="#_x0000_t176" style="position:absolute;top:22083;width:6000;height:3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1PHcMA&#10;AADcAAAADwAAAGRycy9kb3ducmV2LnhtbERPTWvCQBC9F/wPywi96Sa2WJu6EbFUevBiKvQ6zY7Z&#10;YHY2ZNcY++u7gtDbPN7nLFeDbURPna8dK0inCQji0umaKwWHr4/JAoQPyBobx6TgSh5W+ehhiZl2&#10;F95TX4RKxBD2GSowIbSZlL40ZNFPXUscuaPrLIYIu0rqDi8x3DZyliRzabHm2GCwpY2h8lScrYJh&#10;9/vzet6mZRHMYv7y/dS/rw9SqcfxsH4DEWgI/+K7+1PH+ckz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1PHcMAAADcAAAADwAAAAAAAAAAAAAAAACYAgAAZHJzL2Rv&#10;d25yZXYueG1sUEsFBgAAAAAEAAQA9QAAAIgDAAAAAA==&#10;">
                            <v:textbox>
                              <w:txbxContent>
                                <w:p w14:paraId="30E9E503" w14:textId="77777777" w:rsidR="00345FC9" w:rsidRPr="00EB0792" w:rsidRDefault="00345FC9" w:rsidP="004874BF">
                                  <w:pPr>
                                    <w:pStyle w:val="BalloonText"/>
                                    <w:keepNext/>
                                    <w:keepLines/>
                                    <w:jc w:val="center"/>
                                    <w:rPr>
                                      <w:rFonts w:ascii="Bookman Old Style" w:hAnsi="Bookman Old Style"/>
                                      <w:sz w:val="12"/>
                                      <w:szCs w:val="12"/>
                                    </w:rPr>
                                  </w:pPr>
                                  <w:r w:rsidRPr="00EB0792">
                                    <w:rPr>
                                      <w:rFonts w:ascii="Bookman Old Style" w:hAnsi="Bookman Old Style"/>
                                      <w:sz w:val="12"/>
                                      <w:szCs w:val="12"/>
                                    </w:rPr>
                                    <w:t>Domestic good 1</w:t>
                                  </w:r>
                                </w:p>
                              </w:txbxContent>
                            </v:textbox>
                          </v:shape>
                          <v:shape id="AutoShape 29" o:spid="_x0000_s1058" type="#_x0000_t176" style="position:absolute;left:7246;top:22083;width:5988;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qhsMA&#10;AADcAAAADwAAAGRycy9kb3ducmV2LnhtbERPTWvCQBC9F/wPywi96SaWWpu6EbFUevBiKvQ6zY7Z&#10;YHY2ZNcY++u7gtDbPN7nLFeDbURPna8dK0inCQji0umaKwWHr4/JAoQPyBobx6TgSh5W+ehhiZl2&#10;F95TX4RKxBD2GSowIbSZlL40ZNFPXUscuaPrLIYIu0rqDi8x3DZyliRzabHm2GCwpY2h8lScrYJh&#10;9/vzet6mZRHMYv7y/dS/rw9SqcfxsH4DEWgI/+K7+1PH+ckz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HqhsMAAADcAAAADwAAAAAAAAAAAAAAAACYAgAAZHJzL2Rv&#10;d25yZXYueG1sUEsFBgAAAAAEAAQA9QAAAIgDAAAAAA==&#10;">
                            <v:textbox>
                              <w:txbxContent>
                                <w:p w14:paraId="5736F9D3" w14:textId="77777777" w:rsidR="00345FC9" w:rsidRPr="00EB0792" w:rsidRDefault="00345FC9" w:rsidP="004874BF">
                                  <w:pPr>
                                    <w:pStyle w:val="BalloonText"/>
                                    <w:keepNext/>
                                    <w:keepLines/>
                                    <w:jc w:val="center"/>
                                    <w:rPr>
                                      <w:rFonts w:ascii="Bookman Old Style" w:hAnsi="Bookman Old Style"/>
                                      <w:sz w:val="12"/>
                                      <w:szCs w:val="12"/>
                                    </w:rPr>
                                  </w:pPr>
                                  <w:r w:rsidRPr="00EB0792">
                                    <w:rPr>
                                      <w:rFonts w:ascii="Bookman Old Style" w:hAnsi="Bookman Old Style"/>
                                      <w:sz w:val="12"/>
                                      <w:szCs w:val="12"/>
                                    </w:rPr>
                                    <w:t>Imported good 1</w:t>
                                  </w:r>
                                </w:p>
                              </w:txbxContent>
                            </v:textbox>
                          </v:shape>
                          <v:group id="Group 106" o:spid="_x0000_s1059" style="position:absolute;left:2760;top:14233;width:7506;height:7830" coordsize="7508,7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line id="Line 30" o:spid="_x0000_s1060" style="position:absolute;visibility:visible;mso-wrap-style:square" from="136,6550" to="7508,6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shape id="AutoShape 31" o:spid="_x0000_s1061" type="#_x0000_t32" style="position:absolute;left:136;top:6547;width:0;height:12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line id="Line 33" o:spid="_x0000_s1062" style="position:absolute;visibility:visible;mso-wrap-style:square" from="3684,5049" to="3684,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zwCMMAAADcAAAADwAAAGRycy9kb3ducmV2LnhtbERP22qDQBB9L/QflinkrVlbgkTjGoJQ&#10;KAkEcoM+Tt2JSt1Zcbdq8vXdQqFvczjXydaTacVAvWssK3iZRyCIS6sbrhScT2/PSxDOI2tsLZOC&#10;GzlY548PGabajnyg4egrEULYpaig9r5LpXRlTQbd3HbEgbva3qAPsK+k7nEM4aaVr1EUS4MNh4Ya&#10;OypqKr+O30YByuLul4dpt0guRn7sN/Hl875VavY0bVYgPE3+X/znftdhfpTA7zPhA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M8AjDAAAA3AAAAA8AAAAAAAAAAAAA&#10;AAAAoQIAAGRycy9kb3ducmV2LnhtbFBLBQYAAAAABAAEAPkAAACRAwAAAAA=&#10;">
                              <v:stroke startarrow="block"/>
                            </v:line>
                            <v:shapetype id="_x0000_t110" coordsize="21600,21600" o:spt="110" path="m10800,l,10800,10800,21600,21600,10800xe">
                              <v:stroke joinstyle="miter"/>
                              <v:path gradientshapeok="t" o:connecttype="rect" textboxrect="5400,5400,16200,16200"/>
                            </v:shapetype>
                            <v:shape id="AutoShape 50" o:spid="_x0000_s1063" type="#_x0000_t110" style="position:absolute;top:1501;width:7505;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textbox>
                                <w:txbxContent>
                                  <w:p w14:paraId="6C1880CE" w14:textId="77777777" w:rsidR="00345FC9" w:rsidRPr="00EB0792" w:rsidRDefault="00345FC9" w:rsidP="004874BF">
                                    <w:pPr>
                                      <w:jc w:val="center"/>
                                      <w:rPr>
                                        <w:sz w:val="12"/>
                                        <w:szCs w:val="12"/>
                                      </w:rPr>
                                    </w:pPr>
                                    <w:r w:rsidRPr="00EB0792">
                                      <w:rPr>
                                        <w:rFonts w:ascii="Bookman Old Style" w:eastAsia="Times New Roman" w:hAnsi="Bookman Old Style"/>
                                        <w:sz w:val="12"/>
                                        <w:szCs w:val="12"/>
                                      </w:rPr>
                                      <w:t>CES</w:t>
                                    </w:r>
                                  </w:p>
                                </w:txbxContent>
                              </v:textbox>
                            </v:shape>
                            <v:shape id="AutoShape 31" o:spid="_x0000_s1064" type="#_x0000_t32" style="position:absolute;left:7438;top:6550;width:0;height:1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line id="Line 33" o:spid="_x0000_s1065" style="position:absolute;visibility:visible;mso-wrap-style:square" from="3753,0" to="3753,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H0pMQAAADcAAAADwAAAGRycy9kb3ducmV2LnhtbERP22qDQBB9L+Qflin0ra5KCYlxE0QI&#10;hBYKuQh9nLoTlbqz4m4Sm6/vFgp9m8O5Tr6ZTC+uNLrOsoIkikEQ11Z33Cg4HbfPCxDOI2vsLZOC&#10;b3KwWc8ecsy0vfGergffiBDCLkMFrfdDJqWrWzLoIjsQB+5sR4M+wLGResRbCDe9TON4Lg12HBpa&#10;HKhsqf46XIwClOXdL/bT28uyMvLjvZhXn/dXpZ4ep2IFwtPk/8V/7p0O85MUfp8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MfSkxAAAANwAAAAPAAAAAAAAAAAA&#10;AAAAAKECAABkcnMvZG93bnJldi54bWxQSwUGAAAAAAQABAD5AAAAkgMAAAAA&#10;">
                              <v:stroke startarrow="block"/>
                            </v:line>
                          </v:group>
                          <v:shape id="AutoShape 12" o:spid="_x0000_s1066" type="#_x0000_t176" style="position:absolute;left:3968;top:33470;width:6820;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1BtMMA&#10;AADcAAAADwAAAGRycy9kb3ducmV2LnhtbERPTWvCQBC9F/wPywje6iYVrEZXEYulBy+NgtcxO2aD&#10;2dmQXWPaX+8WCt7m8T5nue5tLTpqfeVYQTpOQBAXTldcKjgedq8zED4ga6wdk4If8rBeDV6WmGl3&#10;52/q8lCKGMI+QwUmhCaT0heGLPqxa4gjd3GtxRBhW0rd4j2G21q+JclUWqw4NhhsaGuouOY3q6Df&#10;/57nt8+0yIOZTd9Pk+5jc5RKjYb9ZgEiUB+e4n/3l47z0wn8PRM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1BtMMAAADcAAAADwAAAAAAAAAAAAAAAACYAgAAZHJzL2Rv&#10;d25yZXYueG1sUEsFBgAAAAAEAAQA9QAAAIgDAAAAAA==&#10;">
                            <v:textbox>
                              <w:txbxContent>
                                <w:p w14:paraId="6EEC8162" w14:textId="77777777" w:rsidR="00345FC9" w:rsidRPr="002D53A0" w:rsidRDefault="00345FC9" w:rsidP="004874BF">
                                  <w:pPr>
                                    <w:pStyle w:val="BalloonText"/>
                                    <w:keepNext/>
                                    <w:keepLines/>
                                    <w:jc w:val="center"/>
                                    <w:rPr>
                                      <w:rFonts w:ascii="Bookman Old Style" w:hAnsi="Bookman Old Style"/>
                                      <w:sz w:val="12"/>
                                      <w:szCs w:val="12"/>
                                    </w:rPr>
                                  </w:pPr>
                                  <w:r>
                                    <w:rPr>
                                      <w:rFonts w:ascii="Bookman Old Style" w:hAnsi="Bookman Old Style"/>
                                      <w:sz w:val="12"/>
                                      <w:szCs w:val="12"/>
                                    </w:rPr>
                                    <w:t>Output or input</w:t>
                                  </w:r>
                                </w:p>
                              </w:txbxContent>
                            </v:textbox>
                          </v:shape>
                          <v:group id="Group 114" o:spid="_x0000_s1067" style="position:absolute;left:13802;top:2760;width:34050;height:35735" coordsize="34049,35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Text Box 11" o:spid="_x0000_s1068" type="#_x0000_t202" style="position:absolute;left:22773;top:30968;width:538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6VMIA&#10;AADcAAAADwAAAGRycy9kb3ducmV2LnhtbERP22rCQBB9F/yHZQp9Ed1YvDV1E7RgyWvUDxizYxKa&#10;nQ3Z1SR/3y0U+jaHc519OphGPKlztWUFy0UEgriwuuZSwfVymu9AOI+ssbFMCkZykCbTyR5jbXvO&#10;6Xn2pQgh7GJUUHnfxlK6oiKDbmFb4sDdbWfQB9iVUnfYh3DTyLco2kiDNYeGClv6rKj4Pj+MgnvW&#10;z9bv/e3LX7f5anPEenuzo1KvL8PhA4Snwf+L/9yZDvOXa/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npUwgAAANwAAAAPAAAAAAAAAAAAAAAAAJgCAABkcnMvZG93&#10;bnJldi54bWxQSwUGAAAAAAQABAD1AAAAhwMAAAAA&#10;" stroked="f">
                              <v:textbox>
                                <w:txbxContent>
                                  <w:p w14:paraId="7F906133" w14:textId="77777777" w:rsidR="00345FC9" w:rsidRPr="00EB0792" w:rsidRDefault="00345FC9" w:rsidP="004874BF">
                                    <w:pPr>
                                      <w:pStyle w:val="BalloonText"/>
                                      <w:keepNext/>
                                      <w:keepLines/>
                                      <w:rPr>
                                        <w:rFonts w:ascii="Bookman Old Style" w:hAnsi="Bookman Old Style"/>
                                        <w:sz w:val="12"/>
                                        <w:szCs w:val="12"/>
                                      </w:rPr>
                                    </w:pPr>
                                    <w:r w:rsidRPr="00EB0792">
                                      <w:rPr>
                                        <w:rFonts w:ascii="Bookman Old Style" w:hAnsi="Bookman Old Style"/>
                                        <w:sz w:val="12"/>
                                        <w:szCs w:val="12"/>
                                      </w:rPr>
                                      <w:t>--</w:t>
                                    </w:r>
                                    <w:proofErr w:type="gramStart"/>
                                    <w:r w:rsidRPr="00EB0792">
                                      <w:rPr>
                                        <w:rFonts w:ascii="Bookman Old Style" w:hAnsi="Bookman Old Style"/>
                                        <w:sz w:val="12"/>
                                        <w:szCs w:val="12"/>
                                      </w:rPr>
                                      <w:t>up</w:t>
                                    </w:r>
                                    <w:proofErr w:type="gramEnd"/>
                                    <w:r w:rsidRPr="00EB0792">
                                      <w:rPr>
                                        <w:rFonts w:ascii="Bookman Old Style" w:hAnsi="Bookman Old Style"/>
                                        <w:sz w:val="12"/>
                                        <w:szCs w:val="12"/>
                                      </w:rPr>
                                      <w:t xml:space="preserve"> to--</w:t>
                                    </w:r>
                                  </w:p>
                                </w:txbxContent>
                              </v:textbox>
                            </v:shape>
                            <v:shape id="AutoShape 12" o:spid="_x0000_s1069" type="#_x0000_t176" style="position:absolute;left:18029;top:30364;width:5048;height: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iLMMA&#10;AADcAAAADwAAAGRycy9kb3ducmV2LnhtbERPTWvCQBC9C/6HZYTedBMLMY2uIpYWD72YCr2O2Wk2&#10;NDsbsmtM/fXdQqG3ebzP2exG24qBet84VpAuEhDEldMN1wrO7y/zHIQPyBpbx6TgmzzsttPJBgvt&#10;bnyioQy1iCHsC1RgQugKKX1lyKJfuI44cp+utxgi7Gupe7zFcNvKZZJk0mLDscFgRwdD1Vd5tQrG&#10;t/vl6fqaVmUwebb6eBye92ep1MNs3K9BBBrDv/jPfdRxfprB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riLMMAAADcAAAADwAAAAAAAAAAAAAAAACYAgAAZHJzL2Rv&#10;d25yZXYueG1sUEsFBgAAAAAEAAQA9QAAAIgDAAAAAA==&#10;">
                              <v:textbox>
                                <w:txbxContent>
                                  <w:p w14:paraId="1E4AAA98" w14:textId="77777777" w:rsidR="00345FC9" w:rsidRPr="00EB0792" w:rsidRDefault="00345FC9" w:rsidP="004874BF">
                                    <w:pPr>
                                      <w:pStyle w:val="BalloonText"/>
                                      <w:keepNext/>
                                      <w:keepLines/>
                                      <w:rPr>
                                        <w:rFonts w:ascii="Bookman Old Style" w:hAnsi="Bookman Old Style"/>
                                        <w:sz w:val="12"/>
                                        <w:szCs w:val="12"/>
                                      </w:rPr>
                                    </w:pPr>
                                    <w:r w:rsidRPr="00EB0792">
                                      <w:rPr>
                                        <w:rFonts w:ascii="Bookman Old Style" w:hAnsi="Bookman Old Style"/>
                                        <w:sz w:val="12"/>
                                        <w:szCs w:val="12"/>
                                      </w:rPr>
                                      <w:t xml:space="preserve">Labour </w:t>
                                    </w:r>
                                  </w:p>
                                  <w:p w14:paraId="317F5400" w14:textId="77777777" w:rsidR="00345FC9" w:rsidRPr="00EB0792" w:rsidRDefault="00345FC9" w:rsidP="004874BF">
                                    <w:pPr>
                                      <w:pStyle w:val="BalloonText"/>
                                      <w:keepNext/>
                                      <w:keepLines/>
                                      <w:rPr>
                                        <w:rFonts w:ascii="Bookman Old Style" w:hAnsi="Bookman Old Style"/>
                                        <w:sz w:val="12"/>
                                        <w:szCs w:val="12"/>
                                      </w:rPr>
                                    </w:pPr>
                                    <w:proofErr w:type="gramStart"/>
                                    <w:r>
                                      <w:rPr>
                                        <w:rFonts w:ascii="Bookman Old Style" w:hAnsi="Bookman Old Style"/>
                                        <w:sz w:val="12"/>
                                        <w:szCs w:val="12"/>
                                      </w:rPr>
                                      <w:t>type</w:t>
                                    </w:r>
                                    <w:proofErr w:type="gramEnd"/>
                                    <w:r>
                                      <w:rPr>
                                        <w:rFonts w:ascii="Bookman Old Style" w:hAnsi="Bookman Old Style"/>
                                        <w:sz w:val="12"/>
                                        <w:szCs w:val="12"/>
                                      </w:rPr>
                                      <w:t xml:space="preserve"> 1</w:t>
                                    </w:r>
                                  </w:p>
                                </w:txbxContent>
                              </v:textbox>
                            </v:shape>
                            <v:shape id="AutoShape 14" o:spid="_x0000_s1070" type="#_x0000_t176" style="position:absolute;left:27173;top:30364;width:5207;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Ht8MA&#10;AADcAAAADwAAAGRycy9kb3ducmV2LnhtbERPS2vCQBC+F/wPywi91U0q+IiuIhZLD14aBa9jdswG&#10;s7Mhu8a0v74rFLzNx/ec5bq3teio9ZVjBekoAUFcOF1xqeB42L3NQPiArLF2TAp+yMN6NXhZYqbd&#10;nb+py0MpYgj7DBWYEJpMSl8YsuhHriGO3MW1FkOEbSl1i/cYbmv5niQTabHi2GCwoa2h4prfrIJ+&#10;/3ue3z7TIg9mNpmext3H5iiVeh32mwWIQH14iv/dXzrOT6fweC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ZHt8MAAADcAAAADwAAAAAAAAAAAAAAAACYAgAAZHJzL2Rv&#10;d25yZXYueG1sUEsFBgAAAAAEAAQA9QAAAIgDAAAAAA==&#10;">
                              <v:textbox>
                                <w:txbxContent>
                                  <w:p w14:paraId="5CE342A0" w14:textId="77777777" w:rsidR="00345FC9" w:rsidRPr="00EB0792" w:rsidRDefault="00345FC9" w:rsidP="004874BF">
                                    <w:pPr>
                                      <w:pStyle w:val="BalloonText"/>
                                      <w:keepNext/>
                                      <w:keepLines/>
                                      <w:rPr>
                                        <w:rFonts w:ascii="Bookman Old Style" w:hAnsi="Bookman Old Style"/>
                                        <w:sz w:val="12"/>
                                        <w:szCs w:val="12"/>
                                      </w:rPr>
                                    </w:pPr>
                                    <w:r w:rsidRPr="00EB0792">
                                      <w:rPr>
                                        <w:rFonts w:ascii="Bookman Old Style" w:hAnsi="Bookman Old Style"/>
                                        <w:sz w:val="12"/>
                                        <w:szCs w:val="12"/>
                                      </w:rPr>
                                      <w:t xml:space="preserve">Labour </w:t>
                                    </w:r>
                                  </w:p>
                                  <w:p w14:paraId="157FEA24" w14:textId="77777777" w:rsidR="00345FC9" w:rsidRPr="00EB0792" w:rsidRDefault="00345FC9" w:rsidP="004874BF">
                                    <w:pPr>
                                      <w:pStyle w:val="BalloonText"/>
                                      <w:keepNext/>
                                      <w:keepLines/>
                                      <w:rPr>
                                        <w:rFonts w:ascii="Bookman Old Style" w:hAnsi="Bookman Old Style"/>
                                        <w:sz w:val="12"/>
                                        <w:szCs w:val="12"/>
                                      </w:rPr>
                                    </w:pPr>
                                    <w:proofErr w:type="gramStart"/>
                                    <w:r>
                                      <w:rPr>
                                        <w:rFonts w:ascii="Bookman Old Style" w:hAnsi="Bookman Old Style"/>
                                        <w:sz w:val="12"/>
                                        <w:szCs w:val="12"/>
                                      </w:rPr>
                                      <w:t>type</w:t>
                                    </w:r>
                                    <w:proofErr w:type="gramEnd"/>
                                    <w:r>
                                      <w:rPr>
                                        <w:rFonts w:ascii="Bookman Old Style" w:hAnsi="Bookman Old Style"/>
                                        <w:sz w:val="12"/>
                                        <w:szCs w:val="12"/>
                                      </w:rPr>
                                      <w:t xml:space="preserve"> 11</w:t>
                                    </w:r>
                                  </w:p>
                                  <w:p w14:paraId="67461DC6" w14:textId="77777777" w:rsidR="00345FC9" w:rsidRPr="00EB0792" w:rsidRDefault="00345FC9" w:rsidP="004874BF">
                                    <w:pPr>
                                      <w:keepNext/>
                                      <w:keepLines/>
                                      <w:rPr>
                                        <w:sz w:val="12"/>
                                        <w:szCs w:val="12"/>
                                      </w:rPr>
                                    </w:pPr>
                                  </w:p>
                                </w:txbxContent>
                              </v:textbox>
                            </v:shape>
                            <v:shape id="AutoShape 6" o:spid="_x0000_s1071" type="#_x0000_t110" style="position:absolute;left:4572;top:1466;width:10001;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eBsYA&#10;AADcAAAADwAAAGRycy9kb3ducmV2LnhtbESPQWvCQBCF7wX/wzJCb3VjK62krlIKpT1IsSqex+yY&#10;hGZmQ3Y1qb++cyj0NsN78943i9XAjblQF+sgDqaTDAxJEXwtpYP97u1uDiYmFI9NEHLwQxFWy9HN&#10;AnMfevmiyzaVRkMk5uigSqnNrY1FRYxxEloS1U6hY0y6dqX1HfYazo29z7JHy1iLNlTY0mtFxff2&#10;zA42x9mG+/X1xOvr7MDN+f3p8Png3O14eHkGk2hI/+a/6w+v+FOl1W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geBsYAAADcAAAADwAAAAAAAAAAAAAAAACYAgAAZHJz&#10;L2Rvd25yZXYueG1sUEsFBgAAAAAEAAQA9QAAAIsDAAAAAA==&#10;">
                              <v:textbox>
                                <w:txbxContent>
                                  <w:p w14:paraId="494005AA" w14:textId="77777777" w:rsidR="00345FC9" w:rsidRPr="00EB0792" w:rsidRDefault="00345FC9" w:rsidP="004874BF">
                                    <w:pPr>
                                      <w:pStyle w:val="BalloonText"/>
                                      <w:keepNext/>
                                      <w:keepLines/>
                                      <w:rPr>
                                        <w:rFonts w:ascii="Bookman Old Style" w:hAnsi="Bookman Old Style"/>
                                        <w:sz w:val="12"/>
                                        <w:szCs w:val="12"/>
                                      </w:rPr>
                                    </w:pPr>
                                    <w:r w:rsidRPr="00EB0792">
                                      <w:rPr>
                                        <w:rFonts w:ascii="Bookman Old Style" w:hAnsi="Bookman Old Style"/>
                                        <w:sz w:val="12"/>
                                        <w:szCs w:val="12"/>
                                      </w:rPr>
                                      <w:t>Leontief</w:t>
                                    </w:r>
                                  </w:p>
                                </w:txbxContent>
                              </v:textbox>
                            </v:shape>
                            <v:line id="Line 9" o:spid="_x0000_s1072" style="position:absolute;flip:x y;visibility:visible;mso-wrap-style:square" from="9575,0" to="9632,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Q4icMAAADcAAAADwAAAGRycy9kb3ducmV2LnhtbERPPWvDMBDdC/0P4grdatkdQuJGNiFQ&#10;6JAlSWnWs3W1nFgn21Ic999XgUK3e7zPW5ez7cREo28dK8iSFARx7XTLjYLP4/vLEoQPyBo7x6Tg&#10;hzyUxePDGnPtbryn6RAaEUPY56jAhNDnUvrakEWfuJ44ct9utBgiHBupR7zFcNvJ1zRdSIstxwaD&#10;PW0N1ZfD1SqYqmt2/trtL746DatqaYbtblgo9fw0b95ABJrDv/jP/aHj/GwF92fiB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UOInDAAAA3AAAAA8AAAAAAAAAAAAA&#10;AAAAoQIAAGRycy9kb3ducmV2LnhtbFBLBQYAAAAABAAEAPkAAACRAwAAAAA=&#10;">
                              <v:stroke endarrow="block"/>
                            </v:line>
                            <v:shape id="AutoShape 53" o:spid="_x0000_s1073" type="#_x0000_t176" style="position:absolute;left:16994;top:19495;width:5321;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VfsYA&#10;AADcAAAADwAAAGRycy9kb3ducmV2LnhtbESPQW/CMAyF75P2HyJP2m2kMImxQkBo0xAHLuuQdvUa&#10;01RrnKoJpfDr8QGJm633/N7nxWrwjeqpi3VgA+NRBoq4DLbmysD+5+tlBiomZItNYDJwpgir5ePD&#10;AnMbTvxNfZEqJSEcczTgUmpzrWPpyGMchZZYtEPoPCZZu0rbDk8S7hs9ybKp9lizNDhs6cNR+V8c&#10;vYFhd/l7P27GZZHcbPr2+9p/rvfamOenYT0HlWhId/PtemsFfyL48oxM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MVfsYAAADcAAAADwAAAAAAAAAAAAAAAACYAgAAZHJz&#10;L2Rvd25yZXYueG1sUEsFBgAAAAAEAAQA9QAAAIsDAAAAAA==&#10;">
                              <v:textbox>
                                <w:txbxContent>
                                  <w:p w14:paraId="2B034B7F" w14:textId="77777777" w:rsidR="00345FC9" w:rsidRPr="00EB0792" w:rsidRDefault="00345FC9" w:rsidP="004874BF">
                                    <w:pPr>
                                      <w:rPr>
                                        <w:sz w:val="12"/>
                                        <w:szCs w:val="12"/>
                                      </w:rPr>
                                    </w:pPr>
                                  </w:p>
                                </w:txbxContent>
                              </v:textbox>
                            </v:shape>
                            <v:shape id="AutoShape 56" o:spid="_x0000_s1074" type="#_x0000_t176" style="position:absolute;left:22687;top:19409;width:532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5cMA&#10;AADcAAAADwAAAGRycy9kb3ducmV2LnhtbERPTWvCQBC9F/wPywje6iYKVqOriKWlBy+NgtcxO2aD&#10;2dmQXWPaX+8WCt7m8T5nteltLTpqfeVYQTpOQBAXTldcKjgePl7nIHxA1lg7JgU/5GGzHrysMNPu&#10;zt/U5aEUMYR9hgpMCE0mpS8MWfRj1xBH7uJaiyHCtpS6xXsMt7WcJMlMWqw4NhhsaGeouOY3q6Df&#10;/54Xt8+0yIOZz95O0+59e5RKjYb9dgkiUB+e4n/3l47zJyn8PRMv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w5cMAAADcAAAADwAAAAAAAAAAAAAAAACYAgAAZHJzL2Rv&#10;d25yZXYueG1sUEsFBgAAAAAEAAQA9QAAAIgDAAAAAA==&#10;">
                              <v:textbox>
                                <w:txbxContent>
                                  <w:p w14:paraId="578146C1" w14:textId="77777777" w:rsidR="00345FC9" w:rsidRPr="00EB0792" w:rsidRDefault="00345FC9" w:rsidP="004874BF">
                                    <w:pPr>
                                      <w:jc w:val="center"/>
                                      <w:rPr>
                                        <w:sz w:val="12"/>
                                        <w:szCs w:val="12"/>
                                      </w:rPr>
                                    </w:pPr>
                                  </w:p>
                                </w:txbxContent>
                              </v:textbox>
                            </v:shape>
                            <v:shape id="Text Box 62" o:spid="_x0000_s1075" type="#_x0000_t202" style="position:absolute;left:17339;top:19840;width:4502;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conb8A&#10;AADcAAAADwAAAGRycy9kb3ducmV2LnhtbERPy6rCMBDdC/5DGMGNaHqLz2qUq3DFrY8PGJuxLTaT&#10;0kRb//5GENzN4TxntWlNKZ5Uu8Kygp9RBII4tbrgTMHl/Decg3AeWWNpmRS8yMFm3e2sMNG24SM9&#10;Tz4TIYRdggpy76tESpfmZNCNbEUcuJutDfoA60zqGpsQbkoZR9FUGiw4NORY0S6n9H56GAW3QzOY&#10;LJrr3l9mx/F0i8Xsal9K9Xvt7xKEp9Z/xR/3QYf5cQzvZ8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tyidvwAAANwAAAAPAAAAAAAAAAAAAAAAAJgCAABkcnMvZG93bnJl&#10;di54bWxQSwUGAAAAAAQABAD1AAAAhAMAAAAA&#10;" stroked="f">
                              <v:textbox>
                                <w:txbxContent>
                                  <w:p w14:paraId="0C81E10A" w14:textId="77777777" w:rsidR="00345FC9" w:rsidRPr="00FB1D51" w:rsidRDefault="00345FC9" w:rsidP="004874BF">
                                    <w:pPr>
                                      <w:pStyle w:val="BalloonText"/>
                                      <w:keepNext/>
                                      <w:keepLines/>
                                      <w:jc w:val="center"/>
                                      <w:rPr>
                                        <w:rFonts w:ascii="Bookman Old Style" w:hAnsi="Bookman Old Style"/>
                                        <w:sz w:val="12"/>
                                        <w:szCs w:val="12"/>
                                      </w:rPr>
                                    </w:pPr>
                                    <w:r w:rsidRPr="00EB0792">
                                      <w:rPr>
                                        <w:rFonts w:ascii="Bookman Old Style" w:hAnsi="Bookman Old Style"/>
                                        <w:sz w:val="12"/>
                                        <w:szCs w:val="12"/>
                                      </w:rPr>
                                      <w:t>Capital</w:t>
                                    </w:r>
                                  </w:p>
                                </w:txbxContent>
                              </v:textbox>
                            </v:shape>
                            <v:shape id="Text Box 63" o:spid="_x0000_s1076" type="#_x0000_t202" style="position:absolute;left:23032;top:19840;width:4909;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NBsEA&#10;AADcAAAADwAAAGRycy9kb3ducmV2LnhtbERP24rCMBB9F/Yfwiz4Imu63rrbNYoKiq9ePmDajG3Z&#10;ZlKaaOvfG0HwbQ7nOvNlZypxo8aVlhV8DyMQxJnVJecKzqft1w8I55E1VpZJwZ0cLBcfvTkm2rZ8&#10;oNvR5yKEsEtQQeF9nUjpsoIMuqGtiQN3sY1BH2CTS91gG8JNJUdRNJMGSw4NBda0KSj7P16Ngsu+&#10;HUx/23Tnz/FhMltjGaf2rlT/s1v9gfDU+bf45d7rMH80h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7jQbBAAAA3AAAAA8AAAAAAAAAAAAAAAAAmAIAAGRycy9kb3du&#10;cmV2LnhtbFBLBQYAAAAABAAEAPUAAACGAwAAAAA=&#10;" stroked="f">
                              <v:textbox>
                                <w:txbxContent>
                                  <w:p w14:paraId="1F88EC58" w14:textId="77777777" w:rsidR="00345FC9" w:rsidRPr="00EB0792" w:rsidRDefault="00345FC9" w:rsidP="004874BF">
                                    <w:pPr>
                                      <w:pStyle w:val="BalloonText"/>
                                      <w:keepNext/>
                                      <w:keepLines/>
                                      <w:rPr>
                                        <w:rFonts w:ascii="Bookman Old Style" w:hAnsi="Bookman Old Style"/>
                                        <w:sz w:val="12"/>
                                        <w:szCs w:val="12"/>
                                      </w:rPr>
                                    </w:pPr>
                                    <w:r w:rsidRPr="00EB0792">
                                      <w:rPr>
                                        <w:rFonts w:ascii="Bookman Old Style" w:hAnsi="Bookman Old Style"/>
                                        <w:sz w:val="12"/>
                                        <w:szCs w:val="12"/>
                                      </w:rPr>
                                      <w:t>Labour</w:t>
                                    </w:r>
                                  </w:p>
                                  <w:p w14:paraId="62DFBC84" w14:textId="77777777" w:rsidR="00345FC9" w:rsidRPr="00EB0792" w:rsidRDefault="00345FC9" w:rsidP="004874BF">
                                    <w:pPr>
                                      <w:rPr>
                                        <w:sz w:val="12"/>
                                        <w:szCs w:val="12"/>
                                      </w:rPr>
                                    </w:pPr>
                                  </w:p>
                                </w:txbxContent>
                              </v:textbox>
                            </v:shape>
                            <v:shape id="AutoShape 56" o:spid="_x0000_s1077" type="#_x0000_t176" style="position:absolute;left:28639;top:19581;width:5410;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gTfcQA&#10;AADcAAAADwAAAGRycy9kb3ducmV2LnhtbERPS2vCQBC+C/0PyxR6001s8ZG6EWlp6cGLUfA6ZqfZ&#10;0OxsyK4x7a/vCoK3+fies1oPthE9db52rCCdJCCIS6drrhQc9h/jBQgfkDU2jknBL3lY5w+jFWba&#10;XXhHfREqEUPYZ6jAhNBmUvrSkEU/cS1x5L5dZzFE2FVSd3iJ4baR0ySZSYs1xwaDLb0ZKn+Ks1Uw&#10;bP9Oy/NnWhbBLGbz43P/vjlIpZ4eh80riEBDuItv7i8d509f4PpMvE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YE33EAAAA3AAAAA8AAAAAAAAAAAAAAAAAmAIAAGRycy9k&#10;b3ducmV2LnhtbFBLBQYAAAAABAAEAPUAAACJAwAAAAA=&#10;">
                              <v:textbox>
                                <w:txbxContent>
                                  <w:p w14:paraId="62E664F5" w14:textId="77777777" w:rsidR="00345FC9" w:rsidRPr="00EB0792" w:rsidRDefault="00345FC9" w:rsidP="004874BF">
                                    <w:pPr>
                                      <w:jc w:val="center"/>
                                      <w:rPr>
                                        <w:sz w:val="12"/>
                                        <w:szCs w:val="12"/>
                                      </w:rPr>
                                    </w:pPr>
                                  </w:p>
                                </w:txbxContent>
                              </v:textbox>
                            </v:shape>
                            <v:shape id="Text Box 63" o:spid="_x0000_s1078" type="#_x0000_t202" style="position:absolute;left:29329;top:19927;width:4026;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w6cIA&#10;AADcAAAADwAAAGRycy9kb3ducmV2LnhtbERP22rCQBB9L/gPywh9KbpR6i26CbbQkteoHzBmxySY&#10;nQ3Z1SR/3y0U+jaHc51DOphGPKlztWUFi3kEgriwuuZSweX8NduCcB5ZY2OZFIzkIE0mLweMte05&#10;p+fJlyKEsItRQeV9G0vpiooMurltiQN3s51BH2BXSt1hH8JNI5dRtJYGaw4NFbb0WVFxPz2MglvW&#10;v612/fXbXzb5+/oD683Vjkq9TofjHoSnwf+L/9yZDvOXK/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DpwgAAANwAAAAPAAAAAAAAAAAAAAAAAJgCAABkcnMvZG93&#10;bnJldi54bWxQSwUGAAAAAAQABAD1AAAAhwMAAAAA&#10;" stroked="f">
                              <v:textbox>
                                <w:txbxContent>
                                  <w:p w14:paraId="3512C3F0" w14:textId="77777777" w:rsidR="00345FC9" w:rsidRPr="00EB0792" w:rsidRDefault="00345FC9" w:rsidP="004874BF">
                                    <w:pPr>
                                      <w:rPr>
                                        <w:sz w:val="12"/>
                                        <w:szCs w:val="12"/>
                                      </w:rPr>
                                    </w:pPr>
                                    <w:r w:rsidRPr="00EB0792">
                                      <w:rPr>
                                        <w:rFonts w:ascii="Bookman Old Style" w:eastAsia="Times New Roman" w:hAnsi="Bookman Old Style"/>
                                        <w:sz w:val="12"/>
                                        <w:szCs w:val="12"/>
                                      </w:rPr>
                                      <w:t>Land</w:t>
                                    </w:r>
                                  </w:p>
                                  <w:p w14:paraId="2BF3B13F" w14:textId="77777777" w:rsidR="00345FC9" w:rsidRPr="00EB0792" w:rsidRDefault="00345FC9" w:rsidP="004874BF">
                                    <w:pPr>
                                      <w:rPr>
                                        <w:sz w:val="12"/>
                                        <w:szCs w:val="12"/>
                                      </w:rPr>
                                    </w:pPr>
                                    <w:r w:rsidRPr="00EB0792">
                                      <w:rPr>
                                        <w:rFonts w:ascii="Calibri" w:eastAsia="SimSun" w:hAnsi="Calibri" w:cs="Arial"/>
                                        <w:sz w:val="12"/>
                                        <w:szCs w:val="12"/>
                                      </w:rPr>
                                      <w:t> </w:t>
                                    </w:r>
                                  </w:p>
                                </w:txbxContent>
                              </v:textbox>
                            </v:shape>
                            <v:shape id="AutoShape 20" o:spid="_x0000_s1079" type="#_x0000_t176" style="position:absolute;left:1984;top:8540;width:9194;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okcMA&#10;AADcAAAADwAAAGRycy9kb3ducmV2LnhtbERPTWvCQBC9C/6HZQq96UYLqY2uIoqlBy+NgtdpdsyG&#10;ZmdDdo1pf70rCN7m8T5nseptLTpqfeVYwWScgCAunK64VHA87EYzED4ga6wdk4I/8rBaDgcLzLS7&#10;8jd1eShFDGGfoQITQpNJ6QtDFv3YNcSRO7vWYoiwLaVu8RrDbS2nSZJKixXHBoMNbQwVv/nFKuj3&#10;/z8fl89JkQczS99Pb912fZRKvb706zmIQH14ih/uLx3nT1O4PxMv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YokcMAAADcAAAADwAAAAAAAAAAAAAAAACYAgAAZHJzL2Rv&#10;d25yZXYueG1sUEsFBgAAAAAEAAQA9QAAAIgDAAAAAA==&#10;">
                              <v:textbox>
                                <w:txbxContent>
                                  <w:p w14:paraId="373E85EC" w14:textId="77777777" w:rsidR="00345FC9" w:rsidRDefault="00345FC9" w:rsidP="004874BF">
                                    <w:pPr>
                                      <w:pStyle w:val="BalloonText"/>
                                      <w:keepNext/>
                                      <w:keepLines/>
                                      <w:jc w:val="center"/>
                                      <w:rPr>
                                        <w:rFonts w:ascii="Bookman Old Style" w:hAnsi="Bookman Old Style"/>
                                        <w:sz w:val="12"/>
                                        <w:szCs w:val="12"/>
                                      </w:rPr>
                                    </w:pPr>
                                    <w:r w:rsidRPr="00EB0792">
                                      <w:rPr>
                                        <w:rFonts w:ascii="Bookman Old Style" w:hAnsi="Bookman Old Style"/>
                                        <w:sz w:val="12"/>
                                        <w:szCs w:val="12"/>
                                      </w:rPr>
                                      <w:t>Intermediate</w:t>
                                    </w:r>
                                  </w:p>
                                  <w:p w14:paraId="74A484AD" w14:textId="77777777" w:rsidR="00345FC9" w:rsidRPr="00EB0792" w:rsidRDefault="00345FC9" w:rsidP="004874BF">
                                    <w:pPr>
                                      <w:pStyle w:val="BalloonText"/>
                                      <w:keepNext/>
                                      <w:keepLines/>
                                      <w:jc w:val="center"/>
                                      <w:rPr>
                                        <w:rFonts w:ascii="Bookman Old Style" w:hAnsi="Bookman Old Style"/>
                                        <w:sz w:val="12"/>
                                        <w:szCs w:val="12"/>
                                      </w:rPr>
                                    </w:pPr>
                                    <w:proofErr w:type="gramStart"/>
                                    <w:r w:rsidRPr="00EB0792">
                                      <w:rPr>
                                        <w:rFonts w:ascii="Bookman Old Style" w:hAnsi="Bookman Old Style"/>
                                        <w:sz w:val="12"/>
                                        <w:szCs w:val="12"/>
                                      </w:rPr>
                                      <w:t>composite</w:t>
                                    </w:r>
                                    <w:proofErr w:type="gramEnd"/>
                                    <w:r w:rsidRPr="00EB0792">
                                      <w:rPr>
                                        <w:rFonts w:ascii="Bookman Old Style" w:hAnsi="Bookman Old Style"/>
                                        <w:sz w:val="12"/>
                                        <w:szCs w:val="12"/>
                                      </w:rPr>
                                      <w:t xml:space="preserve"> good </w:t>
                                    </w:r>
                                    <w:r>
                                      <w:rPr>
                                        <w:rFonts w:ascii="Bookman Old Style" w:hAnsi="Bookman Old Style"/>
                                        <w:sz w:val="12"/>
                                        <w:szCs w:val="12"/>
                                      </w:rPr>
                                      <w:t>44</w:t>
                                    </w:r>
                                  </w:p>
                                </w:txbxContent>
                              </v:textbox>
                            </v:shape>
                            <v:shape id="AutoShape 49" o:spid="_x0000_s1080" type="#_x0000_t176" style="position:absolute;left:21048;top:8540;width:889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qNCsIA&#10;AADcAAAADwAAAGRycy9kb3ducmV2LnhtbERPTYvCMBC9C/sfwix401QFdatRZBfFg5etwl7HZrYp&#10;20xKE2v11xthwds83ucs152tREuNLx0rGA0TEMS50yUXCk7H7WAOwgdkjZVjUnAjD+vVW2+JqXZX&#10;/qY2C4WIIexTVGBCqFMpfW7Ioh+6mjhyv66xGCJsCqkbvMZwW8lxkkylxZJjg8GaPg3lf9nFKugO&#10;9/PHZTfKs2Dm09nPpP3anKRS/fduswARqAsv8b97r+P88Qyez8QL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io0KwgAAANwAAAAPAAAAAAAAAAAAAAAAAJgCAABkcnMvZG93&#10;bnJldi54bWxQSwUGAAAAAAQABAD1AAAAhwMAAAAA&#10;">
                              <v:textbox>
                                <w:txbxContent>
                                  <w:p w14:paraId="4237CD21" w14:textId="77777777" w:rsidR="00345FC9" w:rsidRPr="00EB0792" w:rsidRDefault="00345FC9" w:rsidP="004874BF">
                                    <w:pPr>
                                      <w:pStyle w:val="BalloonText"/>
                                      <w:keepNext/>
                                      <w:keepLines/>
                                      <w:jc w:val="center"/>
                                      <w:rPr>
                                        <w:rFonts w:ascii="Bookman Old Style" w:hAnsi="Bookman Old Style"/>
                                        <w:sz w:val="12"/>
                                        <w:szCs w:val="12"/>
                                      </w:rPr>
                                    </w:pPr>
                                    <w:r w:rsidRPr="00EB0792">
                                      <w:rPr>
                                        <w:rFonts w:ascii="Bookman Old Style" w:hAnsi="Bookman Old Style"/>
                                        <w:sz w:val="12"/>
                                        <w:szCs w:val="12"/>
                                      </w:rPr>
                                      <w:t>Composite</w:t>
                                    </w:r>
                                  </w:p>
                                  <w:p w14:paraId="71C533AA" w14:textId="77777777" w:rsidR="00345FC9" w:rsidRPr="00EB0792" w:rsidRDefault="00345FC9" w:rsidP="004874BF">
                                    <w:pPr>
                                      <w:pStyle w:val="BalloonText"/>
                                      <w:keepNext/>
                                      <w:keepLines/>
                                      <w:jc w:val="center"/>
                                      <w:rPr>
                                        <w:rFonts w:ascii="Bookman Old Style" w:hAnsi="Bookman Old Style"/>
                                        <w:sz w:val="12"/>
                                        <w:szCs w:val="12"/>
                                      </w:rPr>
                                    </w:pPr>
                                    <w:proofErr w:type="gramStart"/>
                                    <w:r w:rsidRPr="00EB0792">
                                      <w:rPr>
                                        <w:rFonts w:ascii="Bookman Old Style" w:hAnsi="Bookman Old Style"/>
                                        <w:sz w:val="12"/>
                                        <w:szCs w:val="12"/>
                                      </w:rPr>
                                      <w:t>primary</w:t>
                                    </w:r>
                                    <w:proofErr w:type="gramEnd"/>
                                    <w:r w:rsidRPr="00EB0792">
                                      <w:rPr>
                                        <w:rFonts w:ascii="Bookman Old Style" w:hAnsi="Bookman Old Style"/>
                                        <w:sz w:val="12"/>
                                        <w:szCs w:val="12"/>
                                      </w:rPr>
                                      <w:t xml:space="preserve"> factors</w:t>
                                    </w:r>
                                  </w:p>
                                </w:txbxContent>
                              </v:textbox>
                            </v:shape>
                            <v:group id="Group 128" o:spid="_x0000_s1081" style="position:absolute;left:2932;top:11473;width:7519;height:8178" coordsize="7521,8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Line 30" o:spid="_x0000_s1082" style="position:absolute;visibility:visible;mso-wrap-style:square" from="136,6550" to="7508,6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shape id="AutoShape 31" o:spid="_x0000_s1083" type="#_x0000_t32" style="position:absolute;left:136;top:6550;width:0;height:1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line id="Line 33" o:spid="_x0000_s1084" style="position:absolute;visibility:visible;mso-wrap-style:square" from="3684,5049" to="3684,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Y2s8EAAADcAAAADwAAAGRycy9kb3ducmV2LnhtbERPy6rCMBDdX/Afwgjurql6Ea1GEUEQ&#10;Lwi+wOXYjG2xmZQmavXrjSC4m8N5znham0LcqHK5ZQWddgSCOLE651TBfrf4HYBwHlljYZkUPMjB&#10;dNL4GWOs7Z03dNv6VIQQdjEqyLwvYyldkpFB17YlceDOtjLoA6xSqSu8h3BTyG4U9aXBnENDhiXN&#10;M0ou26tRgHL+9INN/f83PBh5XM/6h9NzpVSrWc9GIDzV/iv+uJc6zO914P1MuEB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VjazwQAAANwAAAAPAAAAAAAAAAAAAAAA&#10;AKECAABkcnMvZG93bnJldi54bWxQSwUGAAAAAAQABAD5AAAAjwMAAAAA&#10;">
                                <v:stroke startarrow="block"/>
                              </v:line>
                              <v:shape id="AutoShape 50" o:spid="_x0000_s1085" type="#_x0000_t110" style="position:absolute;top:1501;width:7505;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1jMMA&#10;AADcAAAADwAAAGRycy9kb3ducmV2LnhtbERPS2vCQBC+C/6HZQq91U1VakldRQqlHkR84XmaHZPQ&#10;zGzIrib6691Cwdt8fM+Zzjuu1IUaXzox8DpIQJFkzpaSGzjsv17eQfmAYrFyQgau5GE+6/emmFrX&#10;ypYuu5CrGCI+RQNFCHWqtc8KYvQDV5NE7uQaxhBhk2vbYBvDudLDJHnTjKXEhgJr+iwo+92d2cDm&#10;Z7zhdnU78eo2PnJ1/p4c1yNjnp+6xQeoQF14iP/dSxvnj4bw90y8Q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V1jMMAAADcAAAADwAAAAAAAAAAAAAAAACYAgAAZHJzL2Rv&#10;d25yZXYueG1sUEsFBgAAAAAEAAQA9QAAAIgDAAAAAA==&#10;">
                                <v:textbox>
                                  <w:txbxContent>
                                    <w:p w14:paraId="26B76271" w14:textId="77777777" w:rsidR="00345FC9" w:rsidRPr="00EB0792" w:rsidRDefault="00345FC9" w:rsidP="004874BF">
                                      <w:pPr>
                                        <w:jc w:val="center"/>
                                        <w:rPr>
                                          <w:sz w:val="12"/>
                                          <w:szCs w:val="12"/>
                                        </w:rPr>
                                      </w:pPr>
                                      <w:r w:rsidRPr="00EB0792">
                                        <w:rPr>
                                          <w:rFonts w:ascii="Bookman Old Style" w:eastAsia="Times New Roman" w:hAnsi="Bookman Old Style"/>
                                          <w:sz w:val="12"/>
                                          <w:szCs w:val="12"/>
                                        </w:rPr>
                                        <w:t>CES</w:t>
                                      </w:r>
                                    </w:p>
                                  </w:txbxContent>
                                </v:textbox>
                              </v:shape>
                              <v:shape id="AutoShape 31" o:spid="_x0000_s1086" type="#_x0000_t32" style="position:absolute;left:7521;top:6607;width:0;height:1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line id="Line 33" o:spid="_x0000_s1087" style="position:absolute;flip:x;visibility:visible;mso-wrap-style:square" from="3752,0" to="3753,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6Gw8EAAADcAAAADwAAAGRycy9kb3ducmV2LnhtbERPS4vCMBC+L/gfwgheFk11RaQaRYQF&#10;8bS+7kMzTYvNpDTZtvbXbxYW9jYf33O2+95WoqXGl44VzGcJCOLM6ZKNgvvtc7oG4QOyxsoxKXiR&#10;h/1u9LbFVLuOL9RegxExhH2KCooQ6lRKnxVk0c9cTRy53DUWQ4SNkbrBLobbSi6SZCUtlhwbCqzp&#10;WFD2vH5bBYv3ofcmyy/roR3OX64zy0d+UGoy7g8bEIH68C/+c590nP+xhN9n4gV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LobDwQAAANwAAAAPAAAAAAAAAAAAAAAA&#10;AKECAABkcnMvZG93bnJldi54bWxQSwUGAAAAAAQABAD5AAAAjwMAAAAA&#10;">
                                <v:stroke startarrow="block"/>
                              </v:line>
                            </v:group>
                            <v:shape id="AutoShape 27" o:spid="_x0000_s1088" type="#_x0000_t176" style="position:absolute;top:19409;width:6000;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0gO8QA&#10;AADcAAAADwAAAGRycy9kb3ducmV2LnhtbERPTWvCQBC9C/0PyxR6q5tUajV1I6K0ePDSKHgds9Ns&#10;aHY2ZNeY9te7QsHbPN7nLJaDbURPna8dK0jHCQji0umaKwWH/cfzDIQPyBobx6Tglzws84fRAjPt&#10;LvxFfREqEUPYZ6jAhNBmUvrSkEU/di1x5L5dZzFE2FVSd3iJ4baRL0kylRZrjg0GW1obKn+Ks1Uw&#10;7P5O8/NnWhbBzKZvx0m/WR2kUk+Pw+odRKAh3MX/7q2O8yevcHsmXi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NIDvEAAAA3AAAAA8AAAAAAAAAAAAAAAAAmAIAAGRycy9k&#10;b3ducmV2LnhtbFBLBQYAAAAABAAEAPUAAACJAwAAAAA=&#10;">
                              <v:textbox>
                                <w:txbxContent>
                                  <w:p w14:paraId="45F88E2B" w14:textId="77777777" w:rsidR="00345FC9" w:rsidRPr="00EB0792" w:rsidRDefault="00345FC9" w:rsidP="004874BF">
                                    <w:pPr>
                                      <w:pStyle w:val="BalloonText"/>
                                      <w:keepNext/>
                                      <w:keepLines/>
                                      <w:jc w:val="center"/>
                                      <w:rPr>
                                        <w:rFonts w:ascii="Bookman Old Style" w:hAnsi="Bookman Old Style"/>
                                        <w:sz w:val="12"/>
                                        <w:szCs w:val="12"/>
                                      </w:rPr>
                                    </w:pPr>
                                    <w:r>
                                      <w:rPr>
                                        <w:rFonts w:ascii="Bookman Old Style" w:hAnsi="Bookman Old Style"/>
                                        <w:sz w:val="12"/>
                                        <w:szCs w:val="12"/>
                                      </w:rPr>
                                      <w:t>Domestic good 52</w:t>
                                    </w:r>
                                  </w:p>
                                </w:txbxContent>
                              </v:textbox>
                            </v:shape>
                            <v:shape id="AutoShape 29" o:spid="_x0000_s1089" type="#_x0000_t176" style="position:absolute;left:7332;top:19323;width:5988;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MMA&#10;AADcAAAADwAAAGRycy9kb3ducmV2LnhtbERPTWvCQBC9F/wPywje6sYKqUZXEYvSQy+NgtcxO2aD&#10;2dmQXWPsr+8WCt7m8T5nue5tLTpqfeVYwWScgCAunK64VHA87F5nIHxA1lg7JgUP8rBeDV6WmGl3&#10;52/q8lCKGMI+QwUmhCaT0heGLPqxa4gjd3GtxRBhW0rd4j2G21q+JUkqLVYcGww2tDVUXPObVdB/&#10;/Zznt/2kyIOZpe+nafexOUqlRsN+swARqA9P8b/7U8f50xT+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TMMAAADcAAAADwAAAAAAAAAAAAAAAACYAgAAZHJzL2Rv&#10;d25yZXYueG1sUEsFBgAAAAAEAAQA9QAAAIgDAAAAAA==&#10;">
                              <v:textbox>
                                <w:txbxContent>
                                  <w:p w14:paraId="2F37F4F3" w14:textId="77777777" w:rsidR="00345FC9" w:rsidRPr="00EB0792" w:rsidRDefault="00345FC9" w:rsidP="004874BF">
                                    <w:pPr>
                                      <w:pStyle w:val="BalloonText"/>
                                      <w:keepNext/>
                                      <w:keepLines/>
                                      <w:jc w:val="center"/>
                                      <w:rPr>
                                        <w:rFonts w:ascii="Bookman Old Style" w:hAnsi="Bookman Old Style"/>
                                        <w:sz w:val="12"/>
                                        <w:szCs w:val="12"/>
                                      </w:rPr>
                                    </w:pPr>
                                    <w:r>
                                      <w:rPr>
                                        <w:rFonts w:ascii="Bookman Old Style" w:hAnsi="Bookman Old Style"/>
                                        <w:sz w:val="12"/>
                                        <w:szCs w:val="12"/>
                                      </w:rPr>
                                      <w:t>Imported good 52</w:t>
                                    </w:r>
                                  </w:p>
                                </w:txbxContent>
                              </v:textbox>
                            </v:shape>
                            <v:shape id="AutoShape 50" o:spid="_x0000_s1090" type="#_x0000_t110" style="position:absolute;left:21566;top:13025;width:7505;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WFMMA&#10;AADcAAAADwAAAGRycy9kb3ducmV2LnhtbERPTWvCQBC9F/wPyxR6q5uqaEldRYTSHkSsiudpdkxC&#10;M7Mhu5ror3cFobd5vM+Zzjuu1JkaXzox8NZPQJFkzpaSG9jvPl/fQfmAYrFyQgYu5GE+6z1NMbWu&#10;lR86b0OuYoj4FA0UIdSp1j4riNH3XU0SuaNrGEOETa5tg20M50oPkmSsGUuJDQXWtCwo+9ue2MDm&#10;d7ThdnU98uo6OnB1+poc1kNjXp67xQeoQF34Fz/c3zbOH07g/ky8QM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LWFMMAAADcAAAADwAAAAAAAAAAAAAAAACYAgAAZHJzL2Rv&#10;d25yZXYueG1sUEsFBgAAAAAEAAQA9QAAAIgDAAAAAA==&#10;">
                              <v:textbox>
                                <w:txbxContent>
                                  <w:p w14:paraId="36DFFE13" w14:textId="77777777" w:rsidR="00345FC9" w:rsidRPr="00EB0792" w:rsidRDefault="00345FC9" w:rsidP="004874BF">
                                    <w:pPr>
                                      <w:jc w:val="center"/>
                                      <w:rPr>
                                        <w:sz w:val="12"/>
                                        <w:szCs w:val="12"/>
                                      </w:rPr>
                                    </w:pPr>
                                    <w:r w:rsidRPr="00EB0792">
                                      <w:rPr>
                                        <w:rFonts w:ascii="Bookman Old Style" w:eastAsia="Times New Roman" w:hAnsi="Bookman Old Style"/>
                                        <w:sz w:val="12"/>
                                        <w:szCs w:val="12"/>
                                      </w:rPr>
                                      <w:t>CES</w:t>
                                    </w:r>
                                  </w:p>
                                </w:txbxContent>
                              </v:textbox>
                            </v:shape>
                            <v:line id="Line 30" o:spid="_x0000_s1091" style="position:absolute;visibility:visible;mso-wrap-style:square" from="20617,28725" to="29500,28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shape id="AutoShape 50" o:spid="_x0000_s1092" type="#_x0000_t110" style="position:absolute;left:21566;top:23636;width:7505;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n/cMA&#10;AADcAAAADwAAAGRycy9kb3ducmV2LnhtbERPTWvCQBC9F/wPywje6sYqtY2uIgVpDyJWi+dpdkyC&#10;mdmQXU3qr+8Khd7m8T5nvuy4UldqfOnEwGiYgCLJnC0lN/B1WD++gPIBxWLlhAz8kIflovcwx9S6&#10;Vj7pug+5iiHiUzRQhFCnWvusIEY/dDVJ5E6uYQwRNrm2DbYxnCv9lCTPmrGU2FBgTW8FZef9hQ3s&#10;vic7bje3E29ukyNXl/fpcTs2ZtDvVjNQgbrwL/5zf9g4f/wK92fiB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Hn/cMAAADcAAAADwAAAAAAAAAAAAAAAACYAgAAZHJzL2Rv&#10;d25yZXYueG1sUEsFBgAAAAAEAAQA9QAAAIgDAAAAAA==&#10;">
                              <v:textbox>
                                <w:txbxContent>
                                  <w:p w14:paraId="3B7C5962" w14:textId="77777777" w:rsidR="00345FC9" w:rsidRPr="00EB0792" w:rsidRDefault="00345FC9" w:rsidP="004874BF">
                                    <w:pPr>
                                      <w:jc w:val="center"/>
                                      <w:rPr>
                                        <w:sz w:val="12"/>
                                        <w:szCs w:val="12"/>
                                      </w:rPr>
                                    </w:pPr>
                                    <w:r w:rsidRPr="00EB0792">
                                      <w:rPr>
                                        <w:rFonts w:ascii="Bookman Old Style" w:eastAsia="Times New Roman" w:hAnsi="Bookman Old Style"/>
                                        <w:sz w:val="12"/>
                                        <w:szCs w:val="12"/>
                                      </w:rPr>
                                      <w:t>CES</w:t>
                                    </w:r>
                                  </w:p>
                                </w:txbxContent>
                              </v:textbox>
                            </v:shape>
                            <v:line id="Line 33" o:spid="_x0000_s1093" style="position:absolute;flip:x;visibility:visible;mso-wrap-style:square" from="25361,22342" to="25403,2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PzvcQAAADcAAAADwAAAGRycy9kb3ducmV2LnhtbESPT2vDMAzF74V9B6PBLmV1WkopWd1S&#10;BoWxU//tLmLFCYvlEHtJlk9fHQa7Sbyn937aHUbfqJ66WAc2sFxkoIiLYGt2Bu630+sWVEzIFpvA&#10;ZOCXIhz2T7Md5jYMfKH+mpySEI45GqhSanOtY1GRx7gILbFoZeg8Jlk7p22Hg4T7Rq+ybKM91iwN&#10;Fbb0XlHxff3xBlbzaYyuKC/bqZ8+z2Fw66/yaMzL83h8A5VoTP/mv+sPK/hrwZdnZAK9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E/O9xAAAANwAAAAPAAAAAAAAAAAA&#10;AAAAAKECAABkcnMvZG93bnJldi54bWxQSwUGAAAAAAQABAD5AAAAkgMAAAAA&#10;">
                              <v:stroke startarrow="block"/>
                            </v:line>
                            <v:shape id="AutoShape 50" o:spid="_x0000_s1094" type="#_x0000_t110" style="position:absolute;left:5434;top:25792;width:7169;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YhsMA&#10;AADcAAAADwAAAGRycy9kb3ducmV2LnhtbERPTWvCQBC9C/0PyxR60402tCW6ShFKexBRWzyP2TEJ&#10;zcyG7GpSf71bELzN433ObNFzrc7U+sqJgfEoAUWSO1tJYeDn+2P4BsoHFIu1EzLwRx4W84fBDDPr&#10;OtnSeRcKFUPEZ2igDKHJtPZ5SYx+5BqSyB1dyxgibAttW+xiONd6kiQvmrGS2FBiQ8uS8t/diQ1s&#10;DumGu9XlyKtLuuf69Pm6Xz8b8/TYv09BBerDXXxzf9k4Px3D/zPxAj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GYhsMAAADcAAAADwAAAAAAAAAAAAAAAACYAgAAZHJzL2Rv&#10;d25yZXYueG1sUEsFBgAAAAAEAAQA9QAAAIgDAAAAAA==&#10;">
                              <v:textbox>
                                <w:txbxContent>
                                  <w:p w14:paraId="754115E8" w14:textId="77777777" w:rsidR="00345FC9" w:rsidRPr="00EB0792" w:rsidRDefault="00345FC9" w:rsidP="004874BF">
                                    <w:pPr>
                                      <w:jc w:val="center"/>
                                      <w:rPr>
                                        <w:sz w:val="12"/>
                                        <w:szCs w:val="12"/>
                                      </w:rPr>
                                    </w:pPr>
                                    <w:r w:rsidRPr="00EB0792">
                                      <w:rPr>
                                        <w:rFonts w:ascii="Bookman Old Style" w:eastAsia="Times New Roman" w:hAnsi="Bookman Old Style"/>
                                        <w:sz w:val="12"/>
                                        <w:szCs w:val="12"/>
                                      </w:rPr>
                                      <w:t>CES</w:t>
                                    </w:r>
                                  </w:p>
                                </w:txbxContent>
                              </v:textbox>
                            </v:shape>
                            <v:line id="Line 30" o:spid="_x0000_s1095" style="position:absolute;visibility:visible;mso-wrap-style:square" from="5434,30882" to="12603,30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shape id="AutoShape 12" o:spid="_x0000_s1096" type="#_x0000_t176" style="position:absolute;left:1897;top:32521;width:6577;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uqcQA&#10;AADcAAAADwAAAGRycy9kb3ducmV2LnhtbERPTWvCQBC9C/0PyxR6q5vUYjV1I6K0ePDSKHgds9Ns&#10;aHY2ZNeY9te7QsHbPN7nLJaDbURPna8dK0jHCQji0umaKwWH/cfzDIQPyBobx6Tglzws84fRAjPt&#10;LvxFfREqEUPYZ6jAhNBmUvrSkEU/di1x5L5dZzFE2FVSd3iJ4baRL0kylRZrjg0GW1obKn+Ks1Uw&#10;7P5O8/NnWhbBzKZvx0m/WR2kUk+Pw+odRKAh3MX/7q2O818ncHsmXi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ubqnEAAAA3AAAAA8AAAAAAAAAAAAAAAAAmAIAAGRycy9k&#10;b3ducmV2LnhtbFBLBQYAAAAABAAEAPUAAACJAwAAAAA=&#10;">
                              <v:textbox>
                                <w:txbxContent>
                                  <w:p w14:paraId="5A4E963E" w14:textId="77777777" w:rsidR="00345FC9" w:rsidRPr="00EB0792" w:rsidRDefault="00345FC9" w:rsidP="004874BF">
                                    <w:pPr>
                                      <w:pStyle w:val="BalloonText"/>
                                      <w:keepNext/>
                                      <w:keepLines/>
                                      <w:jc w:val="center"/>
                                      <w:rPr>
                                        <w:rFonts w:ascii="Bookman Old Style" w:hAnsi="Bookman Old Style"/>
                                        <w:sz w:val="12"/>
                                        <w:szCs w:val="12"/>
                                      </w:rPr>
                                    </w:pPr>
                                    <w:r>
                                      <w:rPr>
                                        <w:rFonts w:ascii="Bookman Old Style" w:hAnsi="Bookman Old Style"/>
                                        <w:sz w:val="12"/>
                                        <w:szCs w:val="12"/>
                                      </w:rPr>
                                      <w:t>Generation</w:t>
                                    </w:r>
                                  </w:p>
                                  <w:p w14:paraId="13E69DCB" w14:textId="77777777" w:rsidR="00345FC9" w:rsidRPr="00EB0792" w:rsidRDefault="00345FC9" w:rsidP="004874BF">
                                    <w:pPr>
                                      <w:pStyle w:val="BalloonText"/>
                                      <w:keepNext/>
                                      <w:keepLines/>
                                      <w:jc w:val="center"/>
                                      <w:rPr>
                                        <w:rFonts w:ascii="Bookman Old Style" w:hAnsi="Bookman Old Style"/>
                                        <w:sz w:val="12"/>
                                        <w:szCs w:val="12"/>
                                      </w:rPr>
                                    </w:pPr>
                                    <w:proofErr w:type="gramStart"/>
                                    <w:r>
                                      <w:rPr>
                                        <w:rFonts w:ascii="Bookman Old Style" w:hAnsi="Bookman Old Style"/>
                                        <w:sz w:val="12"/>
                                        <w:szCs w:val="12"/>
                                      </w:rPr>
                                      <w:t>type</w:t>
                                    </w:r>
                                    <w:proofErr w:type="gramEnd"/>
                                    <w:r>
                                      <w:rPr>
                                        <w:rFonts w:ascii="Bookman Old Style" w:hAnsi="Bookman Old Style"/>
                                        <w:sz w:val="12"/>
                                        <w:szCs w:val="12"/>
                                      </w:rPr>
                                      <w:t xml:space="preserve"> 1</w:t>
                                    </w:r>
                                  </w:p>
                                </w:txbxContent>
                              </v:textbox>
                            </v:shape>
                            <v:shape id="AutoShape 12" o:spid="_x0000_s1097" type="#_x0000_t176" style="position:absolute;left:9230;top:32521;width:6762;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23cMA&#10;AADcAAAADwAAAGRycy9kb3ducmV2LnhtbERPTWvCQBC9C/6HZQq96UYraqOriFLpwYup0Os0O2ZD&#10;s7Mhu8bUX98VBG/zeJ+zXHe2Ei01vnSsYDRMQBDnTpdcKDh9fQzmIHxA1lg5JgV/5GG96veWmGp3&#10;5SO1WShEDGGfogITQp1K6XNDFv3Q1cSRO7vGYoiwKaRu8BrDbSXHSTKVFkuODQZr2hrKf7OLVdAd&#10;bj/vl/0oz4KZT2ffb+1uc5JKvb50mwWIQF14ih/uTx3nTyZwfy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23cMAAADcAAAADwAAAAAAAAAAAAAAAACYAgAAZHJzL2Rv&#10;d25yZXYueG1sUEsFBgAAAAAEAAQA9QAAAIgDAAAAAA==&#10;">
                              <v:textbox>
                                <w:txbxContent>
                                  <w:p w14:paraId="69647590" w14:textId="77777777" w:rsidR="00345FC9" w:rsidRPr="00EB0792" w:rsidRDefault="00345FC9" w:rsidP="004874BF">
                                    <w:pPr>
                                      <w:pStyle w:val="BalloonText"/>
                                      <w:keepNext/>
                                      <w:keepLines/>
                                      <w:jc w:val="center"/>
                                      <w:rPr>
                                        <w:rFonts w:ascii="Bookman Old Style" w:hAnsi="Bookman Old Style"/>
                                        <w:sz w:val="12"/>
                                        <w:szCs w:val="12"/>
                                      </w:rPr>
                                    </w:pPr>
                                    <w:r>
                                      <w:rPr>
                                        <w:rFonts w:ascii="Bookman Old Style" w:hAnsi="Bookman Old Style"/>
                                        <w:sz w:val="12"/>
                                        <w:szCs w:val="12"/>
                                      </w:rPr>
                                      <w:t>Generation</w:t>
                                    </w:r>
                                  </w:p>
                                  <w:p w14:paraId="4DFEF30C" w14:textId="77777777" w:rsidR="00345FC9" w:rsidRPr="00EB0792" w:rsidRDefault="00345FC9" w:rsidP="004874BF">
                                    <w:pPr>
                                      <w:pStyle w:val="BalloonText"/>
                                      <w:keepNext/>
                                      <w:keepLines/>
                                      <w:jc w:val="center"/>
                                      <w:rPr>
                                        <w:rFonts w:ascii="Bookman Old Style" w:hAnsi="Bookman Old Style"/>
                                        <w:sz w:val="12"/>
                                        <w:szCs w:val="12"/>
                                      </w:rPr>
                                    </w:pPr>
                                    <w:proofErr w:type="gramStart"/>
                                    <w:r>
                                      <w:rPr>
                                        <w:rFonts w:ascii="Bookman Old Style" w:hAnsi="Bookman Old Style"/>
                                        <w:sz w:val="12"/>
                                        <w:szCs w:val="12"/>
                                      </w:rPr>
                                      <w:t>type</w:t>
                                    </w:r>
                                    <w:proofErr w:type="gramEnd"/>
                                    <w:r>
                                      <w:rPr>
                                        <w:rFonts w:ascii="Bookman Old Style" w:hAnsi="Bookman Old Style"/>
                                        <w:sz w:val="12"/>
                                        <w:szCs w:val="12"/>
                                      </w:rPr>
                                      <w:t xml:space="preserve"> 8</w:t>
                                    </w:r>
                                  </w:p>
                                </w:txbxContent>
                              </v:textbox>
                            </v:shape>
                            <v:shape id="AutoShape 49" o:spid="_x0000_s1098" type="#_x0000_t176" style="position:absolute;left:12076;top:8540;width:7797;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TRsQA&#10;AADcAAAADwAAAGRycy9kb3ducmV2LnhtbERPTWvCQBC9C/6HZYTezEbbWhtdRVpaPHgxCr1Os2M2&#10;mJ0N2TWm/fVdoeBtHu9zluve1qKj1leOFUySFARx4XTFpYLj4WM8B+EDssbaMSn4IQ/r1XCwxEy7&#10;K++py0MpYgj7DBWYEJpMSl8YsugT1xBH7uRaiyHCtpS6xWsMt7WcpulMWqw4Nhhs6M1Qcc4vVkG/&#10;+/1+vXxOijyY+ezl67F73xylUg+jfrMAEagPd/G/e6vj/KdnuD0TL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U0bEAAAA3AAAAA8AAAAAAAAAAAAAAAAAmAIAAGRycy9k&#10;b3ducmV2LnhtbFBLBQYAAAAABAAEAPUAAACJAwAAAAA=&#10;">
                              <v:textbox>
                                <w:txbxContent>
                                  <w:p w14:paraId="60F49FCF" w14:textId="77777777" w:rsidR="00345FC9" w:rsidRPr="00EB0792" w:rsidRDefault="00345FC9" w:rsidP="004874BF">
                                    <w:pPr>
                                      <w:pStyle w:val="BalloonText"/>
                                      <w:keepNext/>
                                      <w:keepLines/>
                                      <w:jc w:val="center"/>
                                      <w:rPr>
                                        <w:rFonts w:ascii="Bookman Old Style" w:hAnsi="Bookman Old Style"/>
                                        <w:sz w:val="12"/>
                                        <w:szCs w:val="12"/>
                                      </w:rPr>
                                    </w:pPr>
                                    <w:r>
                                      <w:rPr>
                                        <w:rFonts w:ascii="Bookman Old Style" w:hAnsi="Bookman Old Style"/>
                                        <w:sz w:val="12"/>
                                        <w:szCs w:val="12"/>
                                      </w:rPr>
                                      <w:t>Electricity composite good</w:t>
                                    </w:r>
                                    <w:r w:rsidRPr="00EB0792">
                                      <w:rPr>
                                        <w:rFonts w:ascii="Bookman Old Style" w:hAnsi="Bookman Old Style"/>
                                        <w:sz w:val="12"/>
                                        <w:szCs w:val="12"/>
                                      </w:rPr>
                                      <w:t xml:space="preserve"> factors</w:t>
                                    </w:r>
                                  </w:p>
                                </w:txbxContent>
                              </v:textbox>
                            </v:shape>
                          </v:group>
                        </v:group>
                        <v:line id="Line 25" o:spid="_x0000_s1099" style="position:absolute;visibility:visible;mso-wrap-style:square" from="28984,9920" to="28984,1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group>
                    </v:group>
                  </v:group>
                </v:group>
              </v:group>
            </w:pict>
          </mc:Fallback>
        </mc:AlternateContent>
      </w:r>
    </w:p>
    <w:p w14:paraId="64A8C96D" w14:textId="77777777" w:rsidR="004874BF" w:rsidRPr="008B612B" w:rsidRDefault="004874BF" w:rsidP="004874BF">
      <w:pPr>
        <w:spacing w:line="360" w:lineRule="auto"/>
        <w:ind w:firstLine="567"/>
        <w:rPr>
          <w:rFonts w:ascii="Arial" w:hAnsi="Arial"/>
        </w:rPr>
      </w:pPr>
    </w:p>
    <w:p w14:paraId="3A443809" w14:textId="77777777" w:rsidR="004874BF" w:rsidRPr="008B612B" w:rsidRDefault="004874BF" w:rsidP="004874BF">
      <w:pPr>
        <w:spacing w:line="360" w:lineRule="auto"/>
        <w:ind w:firstLine="567"/>
        <w:rPr>
          <w:rFonts w:ascii="Arial" w:hAnsi="Arial"/>
        </w:rPr>
      </w:pPr>
    </w:p>
    <w:p w14:paraId="66267826" w14:textId="77777777" w:rsidR="004874BF" w:rsidRPr="008B612B" w:rsidRDefault="004874BF" w:rsidP="004874BF">
      <w:pPr>
        <w:spacing w:line="360" w:lineRule="auto"/>
        <w:ind w:firstLine="567"/>
        <w:rPr>
          <w:rFonts w:ascii="Arial" w:hAnsi="Arial"/>
        </w:rPr>
      </w:pPr>
    </w:p>
    <w:p w14:paraId="6CDC4390" w14:textId="77777777" w:rsidR="004874BF" w:rsidRPr="008B612B" w:rsidRDefault="004874BF" w:rsidP="004874BF">
      <w:pPr>
        <w:spacing w:line="360" w:lineRule="auto"/>
        <w:ind w:firstLine="567"/>
        <w:rPr>
          <w:rFonts w:ascii="Arial" w:hAnsi="Arial"/>
        </w:rPr>
      </w:pPr>
    </w:p>
    <w:p w14:paraId="5918CB85" w14:textId="77777777" w:rsidR="004874BF" w:rsidRPr="008B612B" w:rsidRDefault="004874BF" w:rsidP="004874BF">
      <w:pPr>
        <w:spacing w:line="360" w:lineRule="auto"/>
        <w:ind w:firstLine="567"/>
        <w:rPr>
          <w:rFonts w:ascii="Arial" w:hAnsi="Arial" w:cs="Arial"/>
          <w:i/>
        </w:rPr>
      </w:pPr>
    </w:p>
    <w:p w14:paraId="27448FD9" w14:textId="77777777" w:rsidR="004874BF" w:rsidRPr="008B612B" w:rsidRDefault="004874BF" w:rsidP="004874BF">
      <w:pPr>
        <w:spacing w:line="360" w:lineRule="auto"/>
        <w:ind w:firstLine="567"/>
        <w:rPr>
          <w:rFonts w:ascii="Arial" w:hAnsi="Arial" w:cs="Arial"/>
          <w:i/>
        </w:rPr>
      </w:pPr>
    </w:p>
    <w:p w14:paraId="0C4F4C34" w14:textId="77777777" w:rsidR="004874BF" w:rsidRPr="008B612B" w:rsidRDefault="004874BF" w:rsidP="004874BF">
      <w:pPr>
        <w:spacing w:line="360" w:lineRule="auto"/>
        <w:ind w:firstLine="567"/>
        <w:rPr>
          <w:rFonts w:ascii="Arial" w:hAnsi="Arial" w:cs="Arial"/>
          <w:i/>
        </w:rPr>
      </w:pPr>
    </w:p>
    <w:p w14:paraId="592B2E99" w14:textId="77777777" w:rsidR="004874BF" w:rsidRPr="008B612B" w:rsidRDefault="004874BF" w:rsidP="004874BF">
      <w:pPr>
        <w:spacing w:line="360" w:lineRule="auto"/>
        <w:ind w:firstLine="567"/>
        <w:rPr>
          <w:rFonts w:ascii="Arial" w:hAnsi="Arial" w:cs="Arial"/>
          <w:i/>
        </w:rPr>
      </w:pPr>
    </w:p>
    <w:p w14:paraId="68A776E6" w14:textId="77777777" w:rsidR="004874BF" w:rsidRPr="008B612B" w:rsidRDefault="004874BF" w:rsidP="004874BF">
      <w:pPr>
        <w:spacing w:line="360" w:lineRule="auto"/>
        <w:ind w:firstLine="567"/>
        <w:rPr>
          <w:rFonts w:ascii="Arial" w:hAnsi="Arial" w:cs="Arial"/>
          <w:i/>
        </w:rPr>
      </w:pPr>
    </w:p>
    <w:p w14:paraId="7B895527" w14:textId="77777777" w:rsidR="004874BF" w:rsidRPr="008B612B" w:rsidRDefault="004874BF" w:rsidP="004874BF">
      <w:pPr>
        <w:spacing w:line="360" w:lineRule="auto"/>
        <w:ind w:firstLine="567"/>
        <w:rPr>
          <w:rFonts w:ascii="Arial" w:hAnsi="Arial" w:cs="Arial"/>
          <w:i/>
        </w:rPr>
      </w:pPr>
    </w:p>
    <w:p w14:paraId="5E94C62E" w14:textId="77777777" w:rsidR="004874BF" w:rsidRPr="008B612B" w:rsidRDefault="004874BF" w:rsidP="004874BF">
      <w:pPr>
        <w:spacing w:line="360" w:lineRule="auto"/>
        <w:ind w:firstLine="567"/>
        <w:rPr>
          <w:rFonts w:ascii="Arial" w:hAnsi="Arial" w:cs="Arial"/>
          <w:i/>
        </w:rPr>
      </w:pPr>
    </w:p>
    <w:p w14:paraId="0C83CD39" w14:textId="77777777" w:rsidR="00E37FFB" w:rsidRDefault="00E37FFB" w:rsidP="00E37FFB">
      <w:pPr>
        <w:spacing w:after="240"/>
        <w:ind w:left="567" w:hanging="567"/>
      </w:pPr>
    </w:p>
    <w:sectPr w:rsidR="00E37FF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E0A366" w15:done="0"/>
  <w15:commentEx w15:paraId="35E9545A" w15:done="0"/>
  <w15:commentEx w15:paraId="5355C16F" w15:done="0"/>
  <w15:commentEx w15:paraId="1BEA96C5" w15:done="0"/>
  <w15:commentEx w15:paraId="11A6B6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610E6" w14:textId="77777777" w:rsidR="001C5B68" w:rsidRDefault="001C5B68" w:rsidP="000B5F8F">
      <w:pPr>
        <w:spacing w:after="0" w:line="240" w:lineRule="auto"/>
      </w:pPr>
      <w:r>
        <w:separator/>
      </w:r>
    </w:p>
  </w:endnote>
  <w:endnote w:type="continuationSeparator" w:id="0">
    <w:p w14:paraId="1750DCAD" w14:textId="77777777" w:rsidR="001C5B68" w:rsidRDefault="001C5B68" w:rsidP="000B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50A92" w14:textId="77777777" w:rsidR="00345FC9" w:rsidRDefault="00345FC9" w:rsidP="00060C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3747B" w14:textId="77777777" w:rsidR="00345FC9" w:rsidRDefault="00345FC9">
    <w:pPr>
      <w:pStyle w:val="Footer"/>
    </w:pPr>
  </w:p>
  <w:p w14:paraId="1D086CAD" w14:textId="77777777" w:rsidR="00345FC9" w:rsidRDefault="00345FC9"/>
  <w:p w14:paraId="673DE217" w14:textId="77777777" w:rsidR="00345FC9" w:rsidRDefault="00345F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F894F" w14:textId="77777777" w:rsidR="001C5B68" w:rsidRDefault="001C5B68" w:rsidP="000B5F8F">
      <w:pPr>
        <w:spacing w:after="0" w:line="240" w:lineRule="auto"/>
      </w:pPr>
      <w:r>
        <w:separator/>
      </w:r>
    </w:p>
  </w:footnote>
  <w:footnote w:type="continuationSeparator" w:id="0">
    <w:p w14:paraId="677471DB" w14:textId="77777777" w:rsidR="001C5B68" w:rsidRDefault="001C5B68" w:rsidP="000B5F8F">
      <w:pPr>
        <w:spacing w:after="0" w:line="240" w:lineRule="auto"/>
      </w:pPr>
      <w:r>
        <w:continuationSeparator/>
      </w:r>
    </w:p>
  </w:footnote>
  <w:footnote w:id="1">
    <w:p w14:paraId="28E080D6" w14:textId="77777777" w:rsidR="00345FC9" w:rsidRPr="00A12BB3" w:rsidRDefault="00345FC9" w:rsidP="004874BF">
      <w:pPr>
        <w:pStyle w:val="FootnoteText"/>
        <w:rPr>
          <w:rFonts w:ascii="Arial" w:hAnsi="Arial" w:cs="Arial"/>
          <w:sz w:val="18"/>
          <w:szCs w:val="18"/>
        </w:rPr>
      </w:pPr>
      <w:r w:rsidRPr="00A12BB3">
        <w:rPr>
          <w:rStyle w:val="FootnoteReference"/>
          <w:rFonts w:ascii="Arial" w:hAnsi="Arial" w:cs="Arial"/>
          <w:sz w:val="18"/>
          <w:szCs w:val="18"/>
        </w:rPr>
        <w:footnoteRef/>
      </w:r>
      <w:r w:rsidRPr="00A12BB3">
        <w:rPr>
          <w:rFonts w:ascii="Arial" w:hAnsi="Arial" w:cs="Arial"/>
          <w:sz w:val="18"/>
          <w:szCs w:val="18"/>
        </w:rPr>
        <w:t xml:space="preserve"> Taiwan General Equilibrium Model</w:t>
      </w:r>
    </w:p>
  </w:footnote>
  <w:footnote w:id="2">
    <w:p w14:paraId="47BB5ADF" w14:textId="77777777" w:rsidR="00345FC9" w:rsidRPr="008977F0" w:rsidRDefault="00345FC9" w:rsidP="004874BF">
      <w:pPr>
        <w:pStyle w:val="FootnoteText"/>
        <w:rPr>
          <w:rFonts w:ascii="Arial" w:hAnsi="Arial" w:cs="Arial"/>
          <w:sz w:val="18"/>
          <w:szCs w:val="18"/>
        </w:rPr>
      </w:pPr>
      <w:r w:rsidRPr="008977F0">
        <w:rPr>
          <w:rStyle w:val="FootnoteReference"/>
          <w:rFonts w:ascii="Arial" w:hAnsi="Arial" w:cs="Arial"/>
          <w:sz w:val="18"/>
          <w:szCs w:val="18"/>
        </w:rPr>
        <w:footnoteRef/>
      </w:r>
      <w:r w:rsidRPr="008977F0">
        <w:rPr>
          <w:rFonts w:ascii="Arial" w:hAnsi="Arial" w:cs="Arial"/>
          <w:sz w:val="18"/>
          <w:szCs w:val="18"/>
        </w:rPr>
        <w:t xml:space="preserve"> To represent both LPG and natural gas.</w:t>
      </w:r>
    </w:p>
  </w:footnote>
  <w:footnote w:id="3">
    <w:p w14:paraId="799A01A3" w14:textId="77777777" w:rsidR="00345FC9" w:rsidRPr="00B33DC6" w:rsidRDefault="00345FC9" w:rsidP="000F3BB8">
      <w:pPr>
        <w:pStyle w:val="FootnoteText"/>
        <w:rPr>
          <w:rFonts w:asciiTheme="minorHAnsi" w:hAnsiTheme="minorHAnsi"/>
        </w:rPr>
      </w:pPr>
      <w:r w:rsidRPr="00B33DC6">
        <w:rPr>
          <w:rStyle w:val="FootnoteReference"/>
          <w:rFonts w:asciiTheme="minorHAnsi" w:hAnsiTheme="minorHAnsi"/>
        </w:rPr>
        <w:footnoteRef/>
      </w:r>
      <w:r w:rsidRPr="00B33DC6">
        <w:rPr>
          <w:rFonts w:asciiTheme="minorHAnsi" w:hAnsiTheme="minorHAnsi"/>
        </w:rPr>
        <w:t xml:space="preserve"> This paper was an update of a December 2010 paper on the same topic.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3B68"/>
    <w:multiLevelType w:val="multilevel"/>
    <w:tmpl w:val="E522D382"/>
    <w:lvl w:ilvl="0">
      <w:start w:val="3"/>
      <w:numFmt w:val="decimal"/>
      <w:lvlText w:val="%1."/>
      <w:lvlJc w:val="left"/>
      <w:pPr>
        <w:ind w:left="927" w:hanging="360"/>
      </w:pPr>
      <w:rPr>
        <w:rFonts w:hint="default"/>
      </w:rPr>
    </w:lvl>
    <w:lvl w:ilvl="1">
      <w:start w:val="1"/>
      <w:numFmt w:val="decimal"/>
      <w:isLgl/>
      <w:lvlText w:val="%1.%2"/>
      <w:lvlJc w:val="left"/>
      <w:pPr>
        <w:ind w:left="967" w:hanging="4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1362576B"/>
    <w:multiLevelType w:val="hybridMultilevel"/>
    <w:tmpl w:val="D4DED3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F13142"/>
    <w:multiLevelType w:val="multilevel"/>
    <w:tmpl w:val="E522D382"/>
    <w:lvl w:ilvl="0">
      <w:start w:val="3"/>
      <w:numFmt w:val="decimal"/>
      <w:lvlText w:val="%1."/>
      <w:lvlJc w:val="left"/>
      <w:pPr>
        <w:ind w:left="927" w:hanging="360"/>
      </w:pPr>
      <w:rPr>
        <w:rFonts w:hint="default"/>
      </w:rPr>
    </w:lvl>
    <w:lvl w:ilvl="1">
      <w:start w:val="1"/>
      <w:numFmt w:val="decimal"/>
      <w:isLgl/>
      <w:lvlText w:val="%1.%2"/>
      <w:lvlJc w:val="left"/>
      <w:pPr>
        <w:ind w:left="967" w:hanging="4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nsid w:val="22903132"/>
    <w:multiLevelType w:val="hybridMultilevel"/>
    <w:tmpl w:val="926254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86D12C4"/>
    <w:multiLevelType w:val="hybridMultilevel"/>
    <w:tmpl w:val="59BAA86E"/>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DAA7C34"/>
    <w:multiLevelType w:val="hybridMultilevel"/>
    <w:tmpl w:val="D8C4850A"/>
    <w:lvl w:ilvl="0" w:tplc="1CF89940">
      <w:start w:val="1"/>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75014"/>
    <w:multiLevelType w:val="hybridMultilevel"/>
    <w:tmpl w:val="CA746FC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355B33DF"/>
    <w:multiLevelType w:val="hybridMultilevel"/>
    <w:tmpl w:val="81E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C353C"/>
    <w:multiLevelType w:val="hybridMultilevel"/>
    <w:tmpl w:val="057CE68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8997E69"/>
    <w:multiLevelType w:val="hybridMultilevel"/>
    <w:tmpl w:val="A7AA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B36ABE"/>
    <w:multiLevelType w:val="hybridMultilevel"/>
    <w:tmpl w:val="ADD8E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43326A"/>
    <w:multiLevelType w:val="multilevel"/>
    <w:tmpl w:val="9B06BB4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A531351"/>
    <w:multiLevelType w:val="hybridMultilevel"/>
    <w:tmpl w:val="C888928A"/>
    <w:lvl w:ilvl="0" w:tplc="45A8B8A2">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5E1809"/>
    <w:multiLevelType w:val="hybridMultilevel"/>
    <w:tmpl w:val="1C72BE36"/>
    <w:lvl w:ilvl="0" w:tplc="1C090001">
      <w:start w:val="1"/>
      <w:numFmt w:val="bullet"/>
      <w:lvlText w:val=""/>
      <w:lvlJc w:val="left"/>
      <w:pPr>
        <w:ind w:left="4188"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4D311C40"/>
    <w:multiLevelType w:val="hybridMultilevel"/>
    <w:tmpl w:val="0B34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328CB"/>
    <w:multiLevelType w:val="hybridMultilevel"/>
    <w:tmpl w:val="219249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AF3896"/>
    <w:multiLevelType w:val="multilevel"/>
    <w:tmpl w:val="80B8A0FC"/>
    <w:lvl w:ilvl="0">
      <w:start w:val="2"/>
      <w:numFmt w:val="decimal"/>
      <w:lvlText w:val="%1."/>
      <w:lvlJc w:val="left"/>
      <w:pPr>
        <w:ind w:left="927" w:hanging="360"/>
      </w:pPr>
      <w:rPr>
        <w:rFonts w:hint="default"/>
      </w:rPr>
    </w:lvl>
    <w:lvl w:ilvl="1">
      <w:start w:val="1"/>
      <w:numFmt w:val="decimal"/>
      <w:isLgl/>
      <w:lvlText w:val="%1.%2"/>
      <w:lvlJc w:val="left"/>
      <w:pPr>
        <w:ind w:left="967" w:hanging="4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nsid w:val="5F79629E"/>
    <w:multiLevelType w:val="hybridMultilevel"/>
    <w:tmpl w:val="B49E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D5460"/>
    <w:multiLevelType w:val="hybridMultilevel"/>
    <w:tmpl w:val="6EA6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B14552"/>
    <w:multiLevelType w:val="multilevel"/>
    <w:tmpl w:val="935CCF3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0">
    <w:nsid w:val="68D3344C"/>
    <w:multiLevelType w:val="hybridMultilevel"/>
    <w:tmpl w:val="FA32E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593527"/>
    <w:multiLevelType w:val="multilevel"/>
    <w:tmpl w:val="D292BB7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6F4F70B3"/>
    <w:multiLevelType w:val="multilevel"/>
    <w:tmpl w:val="B1F0D3A8"/>
    <w:lvl w:ilvl="0">
      <w:start w:val="2"/>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3">
    <w:nsid w:val="7CBB6B7A"/>
    <w:multiLevelType w:val="hybridMultilevel"/>
    <w:tmpl w:val="37B0A608"/>
    <w:lvl w:ilvl="0" w:tplc="A8568300">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6"/>
  </w:num>
  <w:num w:numId="2">
    <w:abstractNumId w:val="8"/>
  </w:num>
  <w:num w:numId="3">
    <w:abstractNumId w:val="17"/>
  </w:num>
  <w:num w:numId="4">
    <w:abstractNumId w:val="4"/>
  </w:num>
  <w:num w:numId="5">
    <w:abstractNumId w:val="14"/>
  </w:num>
  <w:num w:numId="6">
    <w:abstractNumId w:val="7"/>
  </w:num>
  <w:num w:numId="7">
    <w:abstractNumId w:val="20"/>
  </w:num>
  <w:num w:numId="8">
    <w:abstractNumId w:val="9"/>
  </w:num>
  <w:num w:numId="9">
    <w:abstractNumId w:val="3"/>
  </w:num>
  <w:num w:numId="10">
    <w:abstractNumId w:val="1"/>
  </w:num>
  <w:num w:numId="11">
    <w:abstractNumId w:val="18"/>
  </w:num>
  <w:num w:numId="12">
    <w:abstractNumId w:val="5"/>
  </w:num>
  <w:num w:numId="13">
    <w:abstractNumId w:val="11"/>
  </w:num>
  <w:num w:numId="14">
    <w:abstractNumId w:val="10"/>
  </w:num>
  <w:num w:numId="15">
    <w:abstractNumId w:val="12"/>
  </w:num>
  <w:num w:numId="16">
    <w:abstractNumId w:val="22"/>
  </w:num>
  <w:num w:numId="17">
    <w:abstractNumId w:val="19"/>
  </w:num>
  <w:num w:numId="18">
    <w:abstractNumId w:val="16"/>
  </w:num>
  <w:num w:numId="19">
    <w:abstractNumId w:val="21"/>
  </w:num>
  <w:num w:numId="20">
    <w:abstractNumId w:val="0"/>
  </w:num>
  <w:num w:numId="21">
    <w:abstractNumId w:val="23"/>
  </w:num>
  <w:num w:numId="22">
    <w:abstractNumId w:val="13"/>
  </w:num>
  <w:num w:numId="23">
    <w:abstractNumId w:val="2"/>
  </w:num>
  <w:num w:numId="2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8F"/>
    <w:rsid w:val="0005033B"/>
    <w:rsid w:val="00060C3E"/>
    <w:rsid w:val="000B5F8F"/>
    <w:rsid w:val="000E1481"/>
    <w:rsid w:val="000F3BB8"/>
    <w:rsid w:val="00127098"/>
    <w:rsid w:val="001557E0"/>
    <w:rsid w:val="00171F30"/>
    <w:rsid w:val="001A77A1"/>
    <w:rsid w:val="001C5B68"/>
    <w:rsid w:val="0022706D"/>
    <w:rsid w:val="0023441D"/>
    <w:rsid w:val="002525AB"/>
    <w:rsid w:val="00267B6F"/>
    <w:rsid w:val="002759B7"/>
    <w:rsid w:val="002826F4"/>
    <w:rsid w:val="002957D8"/>
    <w:rsid w:val="002B1F4A"/>
    <w:rsid w:val="002B25CE"/>
    <w:rsid w:val="00310CBA"/>
    <w:rsid w:val="00321DB4"/>
    <w:rsid w:val="00324F0E"/>
    <w:rsid w:val="00335874"/>
    <w:rsid w:val="00345FC9"/>
    <w:rsid w:val="003C21CE"/>
    <w:rsid w:val="004874BF"/>
    <w:rsid w:val="004C78C4"/>
    <w:rsid w:val="004D3B02"/>
    <w:rsid w:val="004D4EB9"/>
    <w:rsid w:val="004F02DF"/>
    <w:rsid w:val="005530F0"/>
    <w:rsid w:val="006670CE"/>
    <w:rsid w:val="00670F71"/>
    <w:rsid w:val="006C5DB4"/>
    <w:rsid w:val="007010F7"/>
    <w:rsid w:val="00757E1F"/>
    <w:rsid w:val="007C57A2"/>
    <w:rsid w:val="0080263E"/>
    <w:rsid w:val="00803ECB"/>
    <w:rsid w:val="00832742"/>
    <w:rsid w:val="008A5C7E"/>
    <w:rsid w:val="008B0D75"/>
    <w:rsid w:val="00964BA1"/>
    <w:rsid w:val="009864A3"/>
    <w:rsid w:val="009B5AA1"/>
    <w:rsid w:val="009E33CD"/>
    <w:rsid w:val="00A324A2"/>
    <w:rsid w:val="00A47050"/>
    <w:rsid w:val="00A72FF5"/>
    <w:rsid w:val="00A841F6"/>
    <w:rsid w:val="00AB12A7"/>
    <w:rsid w:val="00AE6D69"/>
    <w:rsid w:val="00BC30CC"/>
    <w:rsid w:val="00BD140C"/>
    <w:rsid w:val="00CF75AC"/>
    <w:rsid w:val="00D369EE"/>
    <w:rsid w:val="00D46B5B"/>
    <w:rsid w:val="00DC7319"/>
    <w:rsid w:val="00DD5D55"/>
    <w:rsid w:val="00E216B2"/>
    <w:rsid w:val="00E32FA4"/>
    <w:rsid w:val="00E37FFB"/>
    <w:rsid w:val="00F25972"/>
    <w:rsid w:val="00F55DEC"/>
    <w:rsid w:val="00FB5A3D"/>
    <w:rsid w:val="00FE49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8F"/>
    <w:pPr>
      <w:jc w:val="both"/>
    </w:pPr>
  </w:style>
  <w:style w:type="paragraph" w:styleId="Heading1">
    <w:name w:val="heading 1"/>
    <w:basedOn w:val="Normal"/>
    <w:next w:val="Normal"/>
    <w:link w:val="Heading1Char"/>
    <w:uiPriority w:val="9"/>
    <w:qFormat/>
    <w:rsid w:val="00986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3B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5F8F"/>
    <w:pPr>
      <w:keepNext/>
      <w:keepLines/>
      <w:spacing w:before="200" w:after="120" w:line="360" w:lineRule="auto"/>
      <w:outlineLvl w:val="2"/>
    </w:pPr>
    <w:rPr>
      <w:rFonts w:eastAsiaTheme="majorEastAsia" w:cstheme="majorBidi"/>
      <w:b/>
      <w:bCs/>
      <w:color w:val="244061" w:themeColor="accent1" w:themeShade="80"/>
      <w:sz w:val="28"/>
    </w:rPr>
  </w:style>
  <w:style w:type="paragraph" w:styleId="Heading4">
    <w:name w:val="heading 4"/>
    <w:basedOn w:val="Normal"/>
    <w:next w:val="Normal"/>
    <w:link w:val="Heading4Char"/>
    <w:uiPriority w:val="9"/>
    <w:unhideWhenUsed/>
    <w:qFormat/>
    <w:rsid w:val="00E37F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5F8F"/>
    <w:rPr>
      <w:rFonts w:eastAsiaTheme="majorEastAsia" w:cstheme="majorBidi"/>
      <w:b/>
      <w:bCs/>
      <w:color w:val="244061" w:themeColor="accent1" w:themeShade="80"/>
      <w:sz w:val="28"/>
    </w:rPr>
  </w:style>
  <w:style w:type="paragraph" w:styleId="FootnoteText">
    <w:name w:val="footnote text"/>
    <w:aliases w:val="single space,ft,footnote text,Fußnote,FOOTNOTES,fn,Geneva 9,Font: Geneva 9,Boston 10,f,Footnote Text Char Char,ft Char Char,ft1,Footnote Text Char Char Char,Footnote,ALTS FOOTNOTE,(NECG) Footnote Text"/>
    <w:basedOn w:val="Normal"/>
    <w:link w:val="FootnoteTextChar"/>
    <w:rsid w:val="000B5F8F"/>
    <w:pPr>
      <w:spacing w:after="0" w:line="240" w:lineRule="auto"/>
    </w:pPr>
    <w:rPr>
      <w:rFonts w:ascii="Calibri" w:eastAsia="Times New Roman" w:hAnsi="Calibri" w:cs="Times New Roman"/>
      <w:sz w:val="20"/>
      <w:szCs w:val="20"/>
      <w:lang w:val="en-GB"/>
    </w:rPr>
  </w:style>
  <w:style w:type="character" w:customStyle="1" w:styleId="FootnoteTextChar">
    <w:name w:val="Footnote Text Char"/>
    <w:aliases w:val="single space Char,ft Char,footnote text Char,Fußnote Char,FOOTNOTES Char,fn Char,Geneva 9 Char,Font: Geneva 9 Char,Boston 10 Char,f Char,Footnote Text Char Char Char1,ft Char Char Char,ft1 Char,Footnote Text Char Char Char Char"/>
    <w:basedOn w:val="DefaultParagraphFont"/>
    <w:link w:val="FootnoteText"/>
    <w:rsid w:val="000B5F8F"/>
    <w:rPr>
      <w:rFonts w:ascii="Calibri" w:eastAsia="Times New Roman" w:hAnsi="Calibri" w:cs="Times New Roman"/>
      <w:sz w:val="20"/>
      <w:szCs w:val="20"/>
      <w:lang w:val="en-GB"/>
    </w:rPr>
  </w:style>
  <w:style w:type="character" w:styleId="FootnoteReference">
    <w:name w:val="footnote reference"/>
    <w:rsid w:val="000B5F8F"/>
    <w:rPr>
      <w:vertAlign w:val="superscript"/>
    </w:rPr>
  </w:style>
  <w:style w:type="character" w:customStyle="1" w:styleId="Heading1Char">
    <w:name w:val="Heading 1 Char"/>
    <w:basedOn w:val="DefaultParagraphFont"/>
    <w:link w:val="Heading1"/>
    <w:uiPriority w:val="9"/>
    <w:rsid w:val="009864A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864A3"/>
    <w:pPr>
      <w:spacing w:after="0" w:line="240" w:lineRule="auto"/>
      <w:ind w:left="720"/>
      <w:contextualSpacing/>
      <w:jc w:val="left"/>
    </w:pPr>
    <w:rPr>
      <w:rFonts w:eastAsiaTheme="minorEastAsia"/>
      <w:sz w:val="24"/>
      <w:szCs w:val="24"/>
      <w:lang w:val="en-US"/>
    </w:rPr>
  </w:style>
  <w:style w:type="character" w:customStyle="1" w:styleId="Heading2Char">
    <w:name w:val="Heading 2 Char"/>
    <w:basedOn w:val="DefaultParagraphFont"/>
    <w:link w:val="Heading2"/>
    <w:uiPriority w:val="9"/>
    <w:rsid w:val="000F3BB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F3BB8"/>
    <w:rPr>
      <w:sz w:val="16"/>
      <w:szCs w:val="16"/>
    </w:rPr>
  </w:style>
  <w:style w:type="paragraph" w:styleId="CommentText">
    <w:name w:val="annotation text"/>
    <w:basedOn w:val="Normal"/>
    <w:link w:val="CommentTextChar"/>
    <w:uiPriority w:val="99"/>
    <w:semiHidden/>
    <w:unhideWhenUsed/>
    <w:rsid w:val="000F3BB8"/>
    <w:pPr>
      <w:spacing w:after="160" w:line="240" w:lineRule="auto"/>
      <w:jc w:val="left"/>
    </w:pPr>
    <w:rPr>
      <w:sz w:val="20"/>
      <w:szCs w:val="20"/>
    </w:rPr>
  </w:style>
  <w:style w:type="character" w:customStyle="1" w:styleId="CommentTextChar">
    <w:name w:val="Comment Text Char"/>
    <w:basedOn w:val="DefaultParagraphFont"/>
    <w:link w:val="CommentText"/>
    <w:uiPriority w:val="99"/>
    <w:semiHidden/>
    <w:rsid w:val="000F3BB8"/>
    <w:rPr>
      <w:sz w:val="20"/>
      <w:szCs w:val="20"/>
    </w:rPr>
  </w:style>
  <w:style w:type="paragraph" w:styleId="BalloonText">
    <w:name w:val="Balloon Text"/>
    <w:basedOn w:val="Normal"/>
    <w:link w:val="BalloonTextChar"/>
    <w:uiPriority w:val="99"/>
    <w:unhideWhenUsed/>
    <w:rsid w:val="000F3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F3BB8"/>
    <w:rPr>
      <w:rFonts w:ascii="Tahoma" w:hAnsi="Tahoma" w:cs="Tahoma"/>
      <w:sz w:val="16"/>
      <w:szCs w:val="16"/>
    </w:rPr>
  </w:style>
  <w:style w:type="character" w:customStyle="1" w:styleId="Heading4Char">
    <w:name w:val="Heading 4 Char"/>
    <w:basedOn w:val="DefaultParagraphFont"/>
    <w:link w:val="Heading4"/>
    <w:uiPriority w:val="9"/>
    <w:rsid w:val="00E37FFB"/>
    <w:rPr>
      <w:rFonts w:asciiTheme="majorHAnsi" w:eastAsiaTheme="majorEastAsia" w:hAnsiTheme="majorHAnsi" w:cstheme="majorBidi"/>
      <w:b/>
      <w:bCs/>
      <w:i/>
      <w:iCs/>
      <w:color w:val="4F81BD" w:themeColor="accent1"/>
    </w:rPr>
  </w:style>
  <w:style w:type="character" w:styleId="Hyperlink">
    <w:name w:val="Hyperlink"/>
    <w:basedOn w:val="DefaultParagraphFont"/>
    <w:rsid w:val="004874BF"/>
    <w:rPr>
      <w:color w:val="0000FF"/>
      <w:u w:val="single"/>
    </w:rPr>
  </w:style>
  <w:style w:type="paragraph" w:styleId="BodyText">
    <w:name w:val="Body Text"/>
    <w:basedOn w:val="Normal"/>
    <w:link w:val="BodyTextChar"/>
    <w:rsid w:val="004874BF"/>
    <w:pPr>
      <w:spacing w:after="0" w:line="240" w:lineRule="auto"/>
    </w:pPr>
    <w:rPr>
      <w:rFonts w:ascii="Arial" w:eastAsia="Times New Roman" w:hAnsi="Arial" w:cs="Arial"/>
      <w:color w:val="0000FF"/>
      <w:sz w:val="24"/>
      <w:szCs w:val="24"/>
    </w:rPr>
  </w:style>
  <w:style w:type="character" w:customStyle="1" w:styleId="BodyTextChar">
    <w:name w:val="Body Text Char"/>
    <w:basedOn w:val="DefaultParagraphFont"/>
    <w:link w:val="BodyText"/>
    <w:rsid w:val="004874BF"/>
    <w:rPr>
      <w:rFonts w:ascii="Arial" w:eastAsia="Times New Roman" w:hAnsi="Arial" w:cs="Arial"/>
      <w:color w:val="0000FF"/>
      <w:sz w:val="24"/>
      <w:szCs w:val="24"/>
    </w:rPr>
  </w:style>
  <w:style w:type="paragraph" w:styleId="TOCHeading">
    <w:name w:val="TOC Heading"/>
    <w:basedOn w:val="Heading1"/>
    <w:next w:val="Normal"/>
    <w:uiPriority w:val="39"/>
    <w:unhideWhenUsed/>
    <w:qFormat/>
    <w:rsid w:val="004874BF"/>
    <w:pPr>
      <w:jc w:val="left"/>
      <w:outlineLvl w:val="9"/>
    </w:pPr>
    <w:rPr>
      <w:lang w:val="en-US"/>
    </w:rPr>
  </w:style>
  <w:style w:type="paragraph" w:styleId="TOC1">
    <w:name w:val="toc 1"/>
    <w:basedOn w:val="Normal"/>
    <w:next w:val="Normal"/>
    <w:autoRedefine/>
    <w:uiPriority w:val="39"/>
    <w:unhideWhenUsed/>
    <w:rsid w:val="004874BF"/>
    <w:pPr>
      <w:spacing w:before="120" w:after="0" w:line="240" w:lineRule="auto"/>
      <w:jc w:val="left"/>
    </w:pPr>
    <w:rPr>
      <w:rFonts w:eastAsiaTheme="minorEastAsia"/>
      <w:b/>
      <w:lang w:val="en-GB"/>
    </w:rPr>
  </w:style>
  <w:style w:type="paragraph" w:styleId="TOC2">
    <w:name w:val="toc 2"/>
    <w:basedOn w:val="Normal"/>
    <w:next w:val="Normal"/>
    <w:autoRedefine/>
    <w:uiPriority w:val="39"/>
    <w:unhideWhenUsed/>
    <w:rsid w:val="004874BF"/>
    <w:pPr>
      <w:spacing w:after="0" w:line="240" w:lineRule="auto"/>
      <w:ind w:left="240"/>
      <w:jc w:val="left"/>
    </w:pPr>
    <w:rPr>
      <w:rFonts w:eastAsiaTheme="minorEastAsia"/>
      <w:i/>
      <w:lang w:val="en-GB"/>
    </w:rPr>
  </w:style>
  <w:style w:type="paragraph" w:styleId="TOC3">
    <w:name w:val="toc 3"/>
    <w:basedOn w:val="Normal"/>
    <w:next w:val="Normal"/>
    <w:autoRedefine/>
    <w:uiPriority w:val="39"/>
    <w:unhideWhenUsed/>
    <w:rsid w:val="004874BF"/>
    <w:pPr>
      <w:spacing w:after="0" w:line="240" w:lineRule="auto"/>
      <w:ind w:left="480"/>
      <w:jc w:val="left"/>
    </w:pPr>
    <w:rPr>
      <w:rFonts w:eastAsiaTheme="minorEastAsia"/>
      <w:lang w:val="en-GB"/>
    </w:rPr>
  </w:style>
  <w:style w:type="paragraph" w:styleId="Header">
    <w:name w:val="header"/>
    <w:basedOn w:val="Normal"/>
    <w:link w:val="HeaderChar"/>
    <w:uiPriority w:val="99"/>
    <w:unhideWhenUsed/>
    <w:rsid w:val="004874BF"/>
    <w:pPr>
      <w:tabs>
        <w:tab w:val="center" w:pos="4320"/>
        <w:tab w:val="right" w:pos="8640"/>
      </w:tabs>
      <w:spacing w:after="0" w:line="240" w:lineRule="auto"/>
      <w:jc w:val="left"/>
    </w:pPr>
    <w:rPr>
      <w:rFonts w:eastAsiaTheme="minorEastAsia"/>
      <w:sz w:val="24"/>
      <w:szCs w:val="24"/>
      <w:lang w:val="en-GB"/>
    </w:rPr>
  </w:style>
  <w:style w:type="character" w:customStyle="1" w:styleId="HeaderChar">
    <w:name w:val="Header Char"/>
    <w:basedOn w:val="DefaultParagraphFont"/>
    <w:link w:val="Header"/>
    <w:uiPriority w:val="99"/>
    <w:rsid w:val="004874BF"/>
    <w:rPr>
      <w:rFonts w:eastAsiaTheme="minorEastAsia"/>
      <w:sz w:val="24"/>
      <w:szCs w:val="24"/>
      <w:lang w:val="en-GB"/>
    </w:rPr>
  </w:style>
  <w:style w:type="paragraph" w:styleId="Footer">
    <w:name w:val="footer"/>
    <w:basedOn w:val="Normal"/>
    <w:link w:val="FooterChar"/>
    <w:uiPriority w:val="99"/>
    <w:unhideWhenUsed/>
    <w:rsid w:val="004874BF"/>
    <w:pPr>
      <w:tabs>
        <w:tab w:val="center" w:pos="4320"/>
        <w:tab w:val="right" w:pos="8640"/>
      </w:tabs>
      <w:spacing w:after="0" w:line="240" w:lineRule="auto"/>
      <w:jc w:val="left"/>
    </w:pPr>
    <w:rPr>
      <w:rFonts w:eastAsiaTheme="minorEastAsia"/>
      <w:sz w:val="24"/>
      <w:szCs w:val="24"/>
      <w:lang w:val="en-GB"/>
    </w:rPr>
  </w:style>
  <w:style w:type="character" w:customStyle="1" w:styleId="FooterChar">
    <w:name w:val="Footer Char"/>
    <w:basedOn w:val="DefaultParagraphFont"/>
    <w:link w:val="Footer"/>
    <w:uiPriority w:val="99"/>
    <w:rsid w:val="004874BF"/>
    <w:rPr>
      <w:rFonts w:eastAsiaTheme="minorEastAsia"/>
      <w:sz w:val="24"/>
      <w:szCs w:val="24"/>
      <w:lang w:val="en-GB"/>
    </w:rPr>
  </w:style>
  <w:style w:type="character" w:styleId="PageNumber">
    <w:name w:val="page number"/>
    <w:basedOn w:val="DefaultParagraphFont"/>
    <w:uiPriority w:val="99"/>
    <w:semiHidden/>
    <w:unhideWhenUsed/>
    <w:rsid w:val="004874BF"/>
  </w:style>
  <w:style w:type="paragraph" w:styleId="NormalWeb">
    <w:name w:val="Normal (Web)"/>
    <w:basedOn w:val="Normal"/>
    <w:uiPriority w:val="99"/>
    <w:unhideWhenUsed/>
    <w:rsid w:val="004874BF"/>
    <w:pPr>
      <w:spacing w:before="100" w:beforeAutospacing="1" w:after="100" w:afterAutospacing="1" w:line="240" w:lineRule="auto"/>
      <w:jc w:val="left"/>
    </w:pPr>
    <w:rPr>
      <w:rFonts w:ascii="Times" w:eastAsiaTheme="minorEastAsia" w:hAnsi="Times" w:cs="Times New Roman"/>
      <w:sz w:val="20"/>
      <w:szCs w:val="20"/>
      <w:lang w:val="en-AU"/>
    </w:rPr>
  </w:style>
  <w:style w:type="paragraph" w:styleId="Caption">
    <w:name w:val="caption"/>
    <w:basedOn w:val="Normal"/>
    <w:next w:val="Normal"/>
    <w:uiPriority w:val="35"/>
    <w:unhideWhenUsed/>
    <w:qFormat/>
    <w:rsid w:val="004874BF"/>
    <w:pPr>
      <w:spacing w:line="240" w:lineRule="auto"/>
    </w:pPr>
    <w:rPr>
      <w:rFonts w:cs="Arial"/>
      <w:b/>
      <w:bCs/>
      <w:color w:val="002060"/>
      <w:sz w:val="20"/>
      <w:szCs w:val="18"/>
    </w:rPr>
  </w:style>
  <w:style w:type="paragraph" w:styleId="PlainText">
    <w:name w:val="Plain Text"/>
    <w:basedOn w:val="Normal"/>
    <w:link w:val="PlainTextChar"/>
    <w:uiPriority w:val="99"/>
    <w:unhideWhenUsed/>
    <w:rsid w:val="004874BF"/>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4874BF"/>
    <w:rPr>
      <w:rFonts w:ascii="Calibri" w:hAnsi="Calibri"/>
      <w:szCs w:val="21"/>
    </w:rPr>
  </w:style>
  <w:style w:type="paragraph" w:styleId="CommentSubject">
    <w:name w:val="annotation subject"/>
    <w:basedOn w:val="CommentText"/>
    <w:next w:val="CommentText"/>
    <w:link w:val="CommentSubjectChar"/>
    <w:uiPriority w:val="99"/>
    <w:semiHidden/>
    <w:unhideWhenUsed/>
    <w:rsid w:val="007010F7"/>
    <w:pPr>
      <w:spacing w:after="200"/>
      <w:jc w:val="both"/>
    </w:pPr>
    <w:rPr>
      <w:b/>
      <w:bCs/>
    </w:rPr>
  </w:style>
  <w:style w:type="character" w:customStyle="1" w:styleId="CommentSubjectChar">
    <w:name w:val="Comment Subject Char"/>
    <w:basedOn w:val="CommentTextChar"/>
    <w:link w:val="CommentSubject"/>
    <w:uiPriority w:val="99"/>
    <w:semiHidden/>
    <w:rsid w:val="007010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8F"/>
    <w:pPr>
      <w:jc w:val="both"/>
    </w:pPr>
  </w:style>
  <w:style w:type="paragraph" w:styleId="Heading1">
    <w:name w:val="heading 1"/>
    <w:basedOn w:val="Normal"/>
    <w:next w:val="Normal"/>
    <w:link w:val="Heading1Char"/>
    <w:uiPriority w:val="9"/>
    <w:qFormat/>
    <w:rsid w:val="00986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3B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5F8F"/>
    <w:pPr>
      <w:keepNext/>
      <w:keepLines/>
      <w:spacing w:before="200" w:after="120" w:line="360" w:lineRule="auto"/>
      <w:outlineLvl w:val="2"/>
    </w:pPr>
    <w:rPr>
      <w:rFonts w:eastAsiaTheme="majorEastAsia" w:cstheme="majorBidi"/>
      <w:b/>
      <w:bCs/>
      <w:color w:val="244061" w:themeColor="accent1" w:themeShade="80"/>
      <w:sz w:val="28"/>
    </w:rPr>
  </w:style>
  <w:style w:type="paragraph" w:styleId="Heading4">
    <w:name w:val="heading 4"/>
    <w:basedOn w:val="Normal"/>
    <w:next w:val="Normal"/>
    <w:link w:val="Heading4Char"/>
    <w:uiPriority w:val="9"/>
    <w:unhideWhenUsed/>
    <w:qFormat/>
    <w:rsid w:val="00E37F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5F8F"/>
    <w:rPr>
      <w:rFonts w:eastAsiaTheme="majorEastAsia" w:cstheme="majorBidi"/>
      <w:b/>
      <w:bCs/>
      <w:color w:val="244061" w:themeColor="accent1" w:themeShade="80"/>
      <w:sz w:val="28"/>
    </w:rPr>
  </w:style>
  <w:style w:type="paragraph" w:styleId="FootnoteText">
    <w:name w:val="footnote text"/>
    <w:aliases w:val="single space,ft,footnote text,Fußnote,FOOTNOTES,fn,Geneva 9,Font: Geneva 9,Boston 10,f,Footnote Text Char Char,ft Char Char,ft1,Footnote Text Char Char Char,Footnote,ALTS FOOTNOTE,(NECG) Footnote Text"/>
    <w:basedOn w:val="Normal"/>
    <w:link w:val="FootnoteTextChar"/>
    <w:rsid w:val="000B5F8F"/>
    <w:pPr>
      <w:spacing w:after="0" w:line="240" w:lineRule="auto"/>
    </w:pPr>
    <w:rPr>
      <w:rFonts w:ascii="Calibri" w:eastAsia="Times New Roman" w:hAnsi="Calibri" w:cs="Times New Roman"/>
      <w:sz w:val="20"/>
      <w:szCs w:val="20"/>
      <w:lang w:val="en-GB"/>
    </w:rPr>
  </w:style>
  <w:style w:type="character" w:customStyle="1" w:styleId="FootnoteTextChar">
    <w:name w:val="Footnote Text Char"/>
    <w:aliases w:val="single space Char,ft Char,footnote text Char,Fußnote Char,FOOTNOTES Char,fn Char,Geneva 9 Char,Font: Geneva 9 Char,Boston 10 Char,f Char,Footnote Text Char Char Char1,ft Char Char Char,ft1 Char,Footnote Text Char Char Char Char"/>
    <w:basedOn w:val="DefaultParagraphFont"/>
    <w:link w:val="FootnoteText"/>
    <w:rsid w:val="000B5F8F"/>
    <w:rPr>
      <w:rFonts w:ascii="Calibri" w:eastAsia="Times New Roman" w:hAnsi="Calibri" w:cs="Times New Roman"/>
      <w:sz w:val="20"/>
      <w:szCs w:val="20"/>
      <w:lang w:val="en-GB"/>
    </w:rPr>
  </w:style>
  <w:style w:type="character" w:styleId="FootnoteReference">
    <w:name w:val="footnote reference"/>
    <w:rsid w:val="000B5F8F"/>
    <w:rPr>
      <w:vertAlign w:val="superscript"/>
    </w:rPr>
  </w:style>
  <w:style w:type="character" w:customStyle="1" w:styleId="Heading1Char">
    <w:name w:val="Heading 1 Char"/>
    <w:basedOn w:val="DefaultParagraphFont"/>
    <w:link w:val="Heading1"/>
    <w:uiPriority w:val="9"/>
    <w:rsid w:val="009864A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864A3"/>
    <w:pPr>
      <w:spacing w:after="0" w:line="240" w:lineRule="auto"/>
      <w:ind w:left="720"/>
      <w:contextualSpacing/>
      <w:jc w:val="left"/>
    </w:pPr>
    <w:rPr>
      <w:rFonts w:eastAsiaTheme="minorEastAsia"/>
      <w:sz w:val="24"/>
      <w:szCs w:val="24"/>
      <w:lang w:val="en-US"/>
    </w:rPr>
  </w:style>
  <w:style w:type="character" w:customStyle="1" w:styleId="Heading2Char">
    <w:name w:val="Heading 2 Char"/>
    <w:basedOn w:val="DefaultParagraphFont"/>
    <w:link w:val="Heading2"/>
    <w:uiPriority w:val="9"/>
    <w:rsid w:val="000F3BB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F3BB8"/>
    <w:rPr>
      <w:sz w:val="16"/>
      <w:szCs w:val="16"/>
    </w:rPr>
  </w:style>
  <w:style w:type="paragraph" w:styleId="CommentText">
    <w:name w:val="annotation text"/>
    <w:basedOn w:val="Normal"/>
    <w:link w:val="CommentTextChar"/>
    <w:uiPriority w:val="99"/>
    <w:semiHidden/>
    <w:unhideWhenUsed/>
    <w:rsid w:val="000F3BB8"/>
    <w:pPr>
      <w:spacing w:after="160" w:line="240" w:lineRule="auto"/>
      <w:jc w:val="left"/>
    </w:pPr>
    <w:rPr>
      <w:sz w:val="20"/>
      <w:szCs w:val="20"/>
    </w:rPr>
  </w:style>
  <w:style w:type="character" w:customStyle="1" w:styleId="CommentTextChar">
    <w:name w:val="Comment Text Char"/>
    <w:basedOn w:val="DefaultParagraphFont"/>
    <w:link w:val="CommentText"/>
    <w:uiPriority w:val="99"/>
    <w:semiHidden/>
    <w:rsid w:val="000F3BB8"/>
    <w:rPr>
      <w:sz w:val="20"/>
      <w:szCs w:val="20"/>
    </w:rPr>
  </w:style>
  <w:style w:type="paragraph" w:styleId="BalloonText">
    <w:name w:val="Balloon Text"/>
    <w:basedOn w:val="Normal"/>
    <w:link w:val="BalloonTextChar"/>
    <w:uiPriority w:val="99"/>
    <w:unhideWhenUsed/>
    <w:rsid w:val="000F3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F3BB8"/>
    <w:rPr>
      <w:rFonts w:ascii="Tahoma" w:hAnsi="Tahoma" w:cs="Tahoma"/>
      <w:sz w:val="16"/>
      <w:szCs w:val="16"/>
    </w:rPr>
  </w:style>
  <w:style w:type="character" w:customStyle="1" w:styleId="Heading4Char">
    <w:name w:val="Heading 4 Char"/>
    <w:basedOn w:val="DefaultParagraphFont"/>
    <w:link w:val="Heading4"/>
    <w:uiPriority w:val="9"/>
    <w:rsid w:val="00E37FFB"/>
    <w:rPr>
      <w:rFonts w:asciiTheme="majorHAnsi" w:eastAsiaTheme="majorEastAsia" w:hAnsiTheme="majorHAnsi" w:cstheme="majorBidi"/>
      <w:b/>
      <w:bCs/>
      <w:i/>
      <w:iCs/>
      <w:color w:val="4F81BD" w:themeColor="accent1"/>
    </w:rPr>
  </w:style>
  <w:style w:type="character" w:styleId="Hyperlink">
    <w:name w:val="Hyperlink"/>
    <w:basedOn w:val="DefaultParagraphFont"/>
    <w:rsid w:val="004874BF"/>
    <w:rPr>
      <w:color w:val="0000FF"/>
      <w:u w:val="single"/>
    </w:rPr>
  </w:style>
  <w:style w:type="paragraph" w:styleId="BodyText">
    <w:name w:val="Body Text"/>
    <w:basedOn w:val="Normal"/>
    <w:link w:val="BodyTextChar"/>
    <w:rsid w:val="004874BF"/>
    <w:pPr>
      <w:spacing w:after="0" w:line="240" w:lineRule="auto"/>
    </w:pPr>
    <w:rPr>
      <w:rFonts w:ascii="Arial" w:eastAsia="Times New Roman" w:hAnsi="Arial" w:cs="Arial"/>
      <w:color w:val="0000FF"/>
      <w:sz w:val="24"/>
      <w:szCs w:val="24"/>
    </w:rPr>
  </w:style>
  <w:style w:type="character" w:customStyle="1" w:styleId="BodyTextChar">
    <w:name w:val="Body Text Char"/>
    <w:basedOn w:val="DefaultParagraphFont"/>
    <w:link w:val="BodyText"/>
    <w:rsid w:val="004874BF"/>
    <w:rPr>
      <w:rFonts w:ascii="Arial" w:eastAsia="Times New Roman" w:hAnsi="Arial" w:cs="Arial"/>
      <w:color w:val="0000FF"/>
      <w:sz w:val="24"/>
      <w:szCs w:val="24"/>
    </w:rPr>
  </w:style>
  <w:style w:type="paragraph" w:styleId="TOCHeading">
    <w:name w:val="TOC Heading"/>
    <w:basedOn w:val="Heading1"/>
    <w:next w:val="Normal"/>
    <w:uiPriority w:val="39"/>
    <w:unhideWhenUsed/>
    <w:qFormat/>
    <w:rsid w:val="004874BF"/>
    <w:pPr>
      <w:jc w:val="left"/>
      <w:outlineLvl w:val="9"/>
    </w:pPr>
    <w:rPr>
      <w:lang w:val="en-US"/>
    </w:rPr>
  </w:style>
  <w:style w:type="paragraph" w:styleId="TOC1">
    <w:name w:val="toc 1"/>
    <w:basedOn w:val="Normal"/>
    <w:next w:val="Normal"/>
    <w:autoRedefine/>
    <w:uiPriority w:val="39"/>
    <w:unhideWhenUsed/>
    <w:rsid w:val="004874BF"/>
    <w:pPr>
      <w:spacing w:before="120" w:after="0" w:line="240" w:lineRule="auto"/>
      <w:jc w:val="left"/>
    </w:pPr>
    <w:rPr>
      <w:rFonts w:eastAsiaTheme="minorEastAsia"/>
      <w:b/>
      <w:lang w:val="en-GB"/>
    </w:rPr>
  </w:style>
  <w:style w:type="paragraph" w:styleId="TOC2">
    <w:name w:val="toc 2"/>
    <w:basedOn w:val="Normal"/>
    <w:next w:val="Normal"/>
    <w:autoRedefine/>
    <w:uiPriority w:val="39"/>
    <w:unhideWhenUsed/>
    <w:rsid w:val="004874BF"/>
    <w:pPr>
      <w:spacing w:after="0" w:line="240" w:lineRule="auto"/>
      <w:ind w:left="240"/>
      <w:jc w:val="left"/>
    </w:pPr>
    <w:rPr>
      <w:rFonts w:eastAsiaTheme="minorEastAsia"/>
      <w:i/>
      <w:lang w:val="en-GB"/>
    </w:rPr>
  </w:style>
  <w:style w:type="paragraph" w:styleId="TOC3">
    <w:name w:val="toc 3"/>
    <w:basedOn w:val="Normal"/>
    <w:next w:val="Normal"/>
    <w:autoRedefine/>
    <w:uiPriority w:val="39"/>
    <w:unhideWhenUsed/>
    <w:rsid w:val="004874BF"/>
    <w:pPr>
      <w:spacing w:after="0" w:line="240" w:lineRule="auto"/>
      <w:ind w:left="480"/>
      <w:jc w:val="left"/>
    </w:pPr>
    <w:rPr>
      <w:rFonts w:eastAsiaTheme="minorEastAsia"/>
      <w:lang w:val="en-GB"/>
    </w:rPr>
  </w:style>
  <w:style w:type="paragraph" w:styleId="Header">
    <w:name w:val="header"/>
    <w:basedOn w:val="Normal"/>
    <w:link w:val="HeaderChar"/>
    <w:uiPriority w:val="99"/>
    <w:unhideWhenUsed/>
    <w:rsid w:val="004874BF"/>
    <w:pPr>
      <w:tabs>
        <w:tab w:val="center" w:pos="4320"/>
        <w:tab w:val="right" w:pos="8640"/>
      </w:tabs>
      <w:spacing w:after="0" w:line="240" w:lineRule="auto"/>
      <w:jc w:val="left"/>
    </w:pPr>
    <w:rPr>
      <w:rFonts w:eastAsiaTheme="minorEastAsia"/>
      <w:sz w:val="24"/>
      <w:szCs w:val="24"/>
      <w:lang w:val="en-GB"/>
    </w:rPr>
  </w:style>
  <w:style w:type="character" w:customStyle="1" w:styleId="HeaderChar">
    <w:name w:val="Header Char"/>
    <w:basedOn w:val="DefaultParagraphFont"/>
    <w:link w:val="Header"/>
    <w:uiPriority w:val="99"/>
    <w:rsid w:val="004874BF"/>
    <w:rPr>
      <w:rFonts w:eastAsiaTheme="minorEastAsia"/>
      <w:sz w:val="24"/>
      <w:szCs w:val="24"/>
      <w:lang w:val="en-GB"/>
    </w:rPr>
  </w:style>
  <w:style w:type="paragraph" w:styleId="Footer">
    <w:name w:val="footer"/>
    <w:basedOn w:val="Normal"/>
    <w:link w:val="FooterChar"/>
    <w:uiPriority w:val="99"/>
    <w:unhideWhenUsed/>
    <w:rsid w:val="004874BF"/>
    <w:pPr>
      <w:tabs>
        <w:tab w:val="center" w:pos="4320"/>
        <w:tab w:val="right" w:pos="8640"/>
      </w:tabs>
      <w:spacing w:after="0" w:line="240" w:lineRule="auto"/>
      <w:jc w:val="left"/>
    </w:pPr>
    <w:rPr>
      <w:rFonts w:eastAsiaTheme="minorEastAsia"/>
      <w:sz w:val="24"/>
      <w:szCs w:val="24"/>
      <w:lang w:val="en-GB"/>
    </w:rPr>
  </w:style>
  <w:style w:type="character" w:customStyle="1" w:styleId="FooterChar">
    <w:name w:val="Footer Char"/>
    <w:basedOn w:val="DefaultParagraphFont"/>
    <w:link w:val="Footer"/>
    <w:uiPriority w:val="99"/>
    <w:rsid w:val="004874BF"/>
    <w:rPr>
      <w:rFonts w:eastAsiaTheme="minorEastAsia"/>
      <w:sz w:val="24"/>
      <w:szCs w:val="24"/>
      <w:lang w:val="en-GB"/>
    </w:rPr>
  </w:style>
  <w:style w:type="character" w:styleId="PageNumber">
    <w:name w:val="page number"/>
    <w:basedOn w:val="DefaultParagraphFont"/>
    <w:uiPriority w:val="99"/>
    <w:semiHidden/>
    <w:unhideWhenUsed/>
    <w:rsid w:val="004874BF"/>
  </w:style>
  <w:style w:type="paragraph" w:styleId="NormalWeb">
    <w:name w:val="Normal (Web)"/>
    <w:basedOn w:val="Normal"/>
    <w:uiPriority w:val="99"/>
    <w:unhideWhenUsed/>
    <w:rsid w:val="004874BF"/>
    <w:pPr>
      <w:spacing w:before="100" w:beforeAutospacing="1" w:after="100" w:afterAutospacing="1" w:line="240" w:lineRule="auto"/>
      <w:jc w:val="left"/>
    </w:pPr>
    <w:rPr>
      <w:rFonts w:ascii="Times" w:eastAsiaTheme="minorEastAsia" w:hAnsi="Times" w:cs="Times New Roman"/>
      <w:sz w:val="20"/>
      <w:szCs w:val="20"/>
      <w:lang w:val="en-AU"/>
    </w:rPr>
  </w:style>
  <w:style w:type="paragraph" w:styleId="Caption">
    <w:name w:val="caption"/>
    <w:basedOn w:val="Normal"/>
    <w:next w:val="Normal"/>
    <w:uiPriority w:val="35"/>
    <w:unhideWhenUsed/>
    <w:qFormat/>
    <w:rsid w:val="004874BF"/>
    <w:pPr>
      <w:spacing w:line="240" w:lineRule="auto"/>
    </w:pPr>
    <w:rPr>
      <w:rFonts w:cs="Arial"/>
      <w:b/>
      <w:bCs/>
      <w:color w:val="002060"/>
      <w:sz w:val="20"/>
      <w:szCs w:val="18"/>
    </w:rPr>
  </w:style>
  <w:style w:type="paragraph" w:styleId="PlainText">
    <w:name w:val="Plain Text"/>
    <w:basedOn w:val="Normal"/>
    <w:link w:val="PlainTextChar"/>
    <w:uiPriority w:val="99"/>
    <w:unhideWhenUsed/>
    <w:rsid w:val="004874BF"/>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4874BF"/>
    <w:rPr>
      <w:rFonts w:ascii="Calibri" w:hAnsi="Calibri"/>
      <w:szCs w:val="21"/>
    </w:rPr>
  </w:style>
  <w:style w:type="paragraph" w:styleId="CommentSubject">
    <w:name w:val="annotation subject"/>
    <w:basedOn w:val="CommentText"/>
    <w:next w:val="CommentText"/>
    <w:link w:val="CommentSubjectChar"/>
    <w:uiPriority w:val="99"/>
    <w:semiHidden/>
    <w:unhideWhenUsed/>
    <w:rsid w:val="007010F7"/>
    <w:pPr>
      <w:spacing w:after="200"/>
      <w:jc w:val="both"/>
    </w:pPr>
    <w:rPr>
      <w:b/>
      <w:bCs/>
    </w:rPr>
  </w:style>
  <w:style w:type="character" w:customStyle="1" w:styleId="CommentSubjectChar">
    <w:name w:val="Comment Subject Char"/>
    <w:basedOn w:val="CommentTextChar"/>
    <w:link w:val="CommentSubject"/>
    <w:uiPriority w:val="99"/>
    <w:semiHidden/>
    <w:rsid w:val="007010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65918">
      <w:bodyDiv w:val="1"/>
      <w:marLeft w:val="0"/>
      <w:marRight w:val="0"/>
      <w:marTop w:val="0"/>
      <w:marBottom w:val="0"/>
      <w:divBdr>
        <w:top w:val="none" w:sz="0" w:space="0" w:color="auto"/>
        <w:left w:val="none" w:sz="0" w:space="0" w:color="auto"/>
        <w:bottom w:val="none" w:sz="0" w:space="0" w:color="auto"/>
        <w:right w:val="none" w:sz="0" w:space="0" w:color="auto"/>
      </w:divBdr>
    </w:div>
    <w:div w:id="12146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einrich%20Bohlmann\Box%20Sync\Academic%20Research\SAJEMS%20Carbon%20Tax%20Simulation%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Figures!$A$3</c:f>
              <c:strCache>
                <c:ptCount val="1"/>
                <c:pt idx="0">
                  <c:v>Real GDP</c:v>
                </c:pt>
              </c:strCache>
            </c:strRef>
          </c:tx>
          <c:marker>
            <c:symbol val="none"/>
          </c:marker>
          <c:cat>
            <c:numRef>
              <c:f>Figures!$B$2:$Y$2</c:f>
              <c:numCache>
                <c:formatCode>General</c:formatCode>
                <c:ptCount val="2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pt idx="19">
                  <c:v>2031</c:v>
                </c:pt>
                <c:pt idx="20">
                  <c:v>2032</c:v>
                </c:pt>
                <c:pt idx="21">
                  <c:v>2033</c:v>
                </c:pt>
                <c:pt idx="22">
                  <c:v>2034</c:v>
                </c:pt>
                <c:pt idx="23">
                  <c:v>2035</c:v>
                </c:pt>
              </c:numCache>
            </c:numRef>
          </c:cat>
          <c:val>
            <c:numRef>
              <c:f>Figures!$B$3:$Y$3</c:f>
              <c:numCache>
                <c:formatCode>0.0</c:formatCode>
                <c:ptCount val="24"/>
                <c:pt idx="0">
                  <c:v>2.2000000000000002</c:v>
                </c:pt>
                <c:pt idx="1">
                  <c:v>2.2000000000000002</c:v>
                </c:pt>
                <c:pt idx="2">
                  <c:v>1.5</c:v>
                </c:pt>
                <c:pt idx="3">
                  <c:v>1.3</c:v>
                </c:pt>
                <c:pt idx="4">
                  <c:v>0.9</c:v>
                </c:pt>
                <c:pt idx="5">
                  <c:v>1.7</c:v>
                </c:pt>
                <c:pt idx="6">
                  <c:v>2.4</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numCache>
            </c:numRef>
          </c:val>
          <c:smooth val="0"/>
        </c:ser>
        <c:ser>
          <c:idx val="1"/>
          <c:order val="1"/>
          <c:tx>
            <c:strRef>
              <c:f>Figures!$A$4</c:f>
              <c:strCache>
                <c:ptCount val="1"/>
                <c:pt idx="0">
                  <c:v>Households</c:v>
                </c:pt>
              </c:strCache>
            </c:strRef>
          </c:tx>
          <c:marker>
            <c:symbol val="none"/>
          </c:marker>
          <c:cat>
            <c:numRef>
              <c:f>Figures!$B$2:$Y$2</c:f>
              <c:numCache>
                <c:formatCode>General</c:formatCode>
                <c:ptCount val="2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pt idx="19">
                  <c:v>2031</c:v>
                </c:pt>
                <c:pt idx="20">
                  <c:v>2032</c:v>
                </c:pt>
                <c:pt idx="21">
                  <c:v>2033</c:v>
                </c:pt>
                <c:pt idx="22">
                  <c:v>2034</c:v>
                </c:pt>
                <c:pt idx="23">
                  <c:v>2035</c:v>
                </c:pt>
              </c:numCache>
            </c:numRef>
          </c:cat>
          <c:val>
            <c:numRef>
              <c:f>Figures!$B$4:$Y$4</c:f>
              <c:numCache>
                <c:formatCode>0.0</c:formatCode>
                <c:ptCount val="24"/>
                <c:pt idx="0">
                  <c:v>3.4</c:v>
                </c:pt>
                <c:pt idx="1">
                  <c:v>2.9</c:v>
                </c:pt>
                <c:pt idx="2">
                  <c:v>1.4</c:v>
                </c:pt>
                <c:pt idx="3">
                  <c:v>1.4</c:v>
                </c:pt>
                <c:pt idx="4">
                  <c:v>1.2</c:v>
                </c:pt>
                <c:pt idx="5">
                  <c:v>1.6</c:v>
                </c:pt>
                <c:pt idx="6">
                  <c:v>2.2000000000000002</c:v>
                </c:pt>
                <c:pt idx="7">
                  <c:v>2.2339000000000002</c:v>
                </c:pt>
                <c:pt idx="8">
                  <c:v>2.1894200000000001</c:v>
                </c:pt>
                <c:pt idx="9">
                  <c:v>2.1889500000000002</c:v>
                </c:pt>
                <c:pt idx="10">
                  <c:v>2.2065399999999999</c:v>
                </c:pt>
                <c:pt idx="11">
                  <c:v>2.2326899999999998</c:v>
                </c:pt>
                <c:pt idx="12">
                  <c:v>2.2622499999999999</c:v>
                </c:pt>
                <c:pt idx="13">
                  <c:v>2.2929400000000002</c:v>
                </c:pt>
                <c:pt idx="14">
                  <c:v>2.32368</c:v>
                </c:pt>
                <c:pt idx="15">
                  <c:v>2.3538999999999999</c:v>
                </c:pt>
                <c:pt idx="16">
                  <c:v>2.3832399999999998</c:v>
                </c:pt>
                <c:pt idx="17">
                  <c:v>2.4115000000000002</c:v>
                </c:pt>
                <c:pt idx="18">
                  <c:v>2.4385500000000002</c:v>
                </c:pt>
                <c:pt idx="19">
                  <c:v>2.4643299999999999</c:v>
                </c:pt>
                <c:pt idx="20">
                  <c:v>2.4888400000000002</c:v>
                </c:pt>
                <c:pt idx="21">
                  <c:v>2.5121199999999999</c:v>
                </c:pt>
                <c:pt idx="22">
                  <c:v>2.5341999999999998</c:v>
                </c:pt>
                <c:pt idx="23">
                  <c:v>2.5551400000000002</c:v>
                </c:pt>
              </c:numCache>
            </c:numRef>
          </c:val>
          <c:smooth val="0"/>
        </c:ser>
        <c:ser>
          <c:idx val="2"/>
          <c:order val="2"/>
          <c:tx>
            <c:strRef>
              <c:f>Figures!$A$5</c:f>
              <c:strCache>
                <c:ptCount val="1"/>
                <c:pt idx="0">
                  <c:v>Investment</c:v>
                </c:pt>
              </c:strCache>
            </c:strRef>
          </c:tx>
          <c:marker>
            <c:symbol val="none"/>
          </c:marker>
          <c:cat>
            <c:numRef>
              <c:f>Figures!$B$2:$Y$2</c:f>
              <c:numCache>
                <c:formatCode>General</c:formatCode>
                <c:ptCount val="2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pt idx="19">
                  <c:v>2031</c:v>
                </c:pt>
                <c:pt idx="20">
                  <c:v>2032</c:v>
                </c:pt>
                <c:pt idx="21">
                  <c:v>2033</c:v>
                </c:pt>
                <c:pt idx="22">
                  <c:v>2034</c:v>
                </c:pt>
                <c:pt idx="23">
                  <c:v>2035</c:v>
                </c:pt>
              </c:numCache>
            </c:numRef>
          </c:cat>
          <c:val>
            <c:numRef>
              <c:f>Figures!$B$5:$Y$5</c:f>
              <c:numCache>
                <c:formatCode>0.0</c:formatCode>
                <c:ptCount val="24"/>
                <c:pt idx="0">
                  <c:v>3.6</c:v>
                </c:pt>
                <c:pt idx="1">
                  <c:v>7.6</c:v>
                </c:pt>
                <c:pt idx="2">
                  <c:v>-0.4</c:v>
                </c:pt>
                <c:pt idx="3">
                  <c:v>1.1000000000000001</c:v>
                </c:pt>
                <c:pt idx="4">
                  <c:v>0.3</c:v>
                </c:pt>
                <c:pt idx="5">
                  <c:v>1.4</c:v>
                </c:pt>
                <c:pt idx="6">
                  <c:v>2.7</c:v>
                </c:pt>
                <c:pt idx="7">
                  <c:v>3.42611</c:v>
                </c:pt>
                <c:pt idx="8">
                  <c:v>3.5205700000000002</c:v>
                </c:pt>
                <c:pt idx="9">
                  <c:v>3.5846900000000002</c:v>
                </c:pt>
                <c:pt idx="10">
                  <c:v>3.6248800000000001</c:v>
                </c:pt>
                <c:pt idx="11">
                  <c:v>3.6477200000000001</c:v>
                </c:pt>
                <c:pt idx="12">
                  <c:v>3.6578300000000001</c:v>
                </c:pt>
                <c:pt idx="13">
                  <c:v>3.6585999999999999</c:v>
                </c:pt>
                <c:pt idx="14">
                  <c:v>3.6526700000000001</c:v>
                </c:pt>
                <c:pt idx="15">
                  <c:v>3.6420699999999999</c:v>
                </c:pt>
                <c:pt idx="16">
                  <c:v>3.62826</c:v>
                </c:pt>
                <c:pt idx="17">
                  <c:v>3.6122700000000001</c:v>
                </c:pt>
                <c:pt idx="18">
                  <c:v>3.5948199999999999</c:v>
                </c:pt>
                <c:pt idx="19">
                  <c:v>3.5763799999999999</c:v>
                </c:pt>
                <c:pt idx="20">
                  <c:v>3.5573000000000001</c:v>
                </c:pt>
                <c:pt idx="21">
                  <c:v>3.53782</c:v>
                </c:pt>
                <c:pt idx="22">
                  <c:v>3.5181399999999998</c:v>
                </c:pt>
                <c:pt idx="23">
                  <c:v>3.49844</c:v>
                </c:pt>
              </c:numCache>
            </c:numRef>
          </c:val>
          <c:smooth val="0"/>
        </c:ser>
        <c:ser>
          <c:idx val="3"/>
          <c:order val="3"/>
          <c:tx>
            <c:strRef>
              <c:f>Figures!$A$6</c:f>
              <c:strCache>
                <c:ptCount val="1"/>
                <c:pt idx="0">
                  <c:v>Government</c:v>
                </c:pt>
              </c:strCache>
            </c:strRef>
          </c:tx>
          <c:marker>
            <c:symbol val="none"/>
          </c:marker>
          <c:cat>
            <c:numRef>
              <c:f>Figures!$B$2:$Y$2</c:f>
              <c:numCache>
                <c:formatCode>General</c:formatCode>
                <c:ptCount val="2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pt idx="19">
                  <c:v>2031</c:v>
                </c:pt>
                <c:pt idx="20">
                  <c:v>2032</c:v>
                </c:pt>
                <c:pt idx="21">
                  <c:v>2033</c:v>
                </c:pt>
                <c:pt idx="22">
                  <c:v>2034</c:v>
                </c:pt>
                <c:pt idx="23">
                  <c:v>2035</c:v>
                </c:pt>
              </c:numCache>
            </c:numRef>
          </c:cat>
          <c:val>
            <c:numRef>
              <c:f>Figures!$B$6:$Y$6</c:f>
              <c:numCache>
                <c:formatCode>0.0</c:formatCode>
                <c:ptCount val="24"/>
                <c:pt idx="0">
                  <c:v>3.4</c:v>
                </c:pt>
                <c:pt idx="1">
                  <c:v>3.3</c:v>
                </c:pt>
                <c:pt idx="2">
                  <c:v>1.9</c:v>
                </c:pt>
                <c:pt idx="3">
                  <c:v>0.4</c:v>
                </c:pt>
                <c:pt idx="4">
                  <c:v>1.2</c:v>
                </c:pt>
                <c:pt idx="5">
                  <c:v>0</c:v>
                </c:pt>
                <c:pt idx="6">
                  <c:v>0.2</c:v>
                </c:pt>
                <c:pt idx="7">
                  <c:v>2.2339000000000002</c:v>
                </c:pt>
                <c:pt idx="8">
                  <c:v>2.1894200000000001</c:v>
                </c:pt>
                <c:pt idx="9">
                  <c:v>2.1889500000000002</c:v>
                </c:pt>
                <c:pt idx="10">
                  <c:v>2.2065399999999999</c:v>
                </c:pt>
                <c:pt idx="11">
                  <c:v>2.2326899999999998</c:v>
                </c:pt>
                <c:pt idx="12">
                  <c:v>2.2622499999999999</c:v>
                </c:pt>
                <c:pt idx="13">
                  <c:v>2.2929400000000002</c:v>
                </c:pt>
                <c:pt idx="14">
                  <c:v>2.32368</c:v>
                </c:pt>
                <c:pt idx="15">
                  <c:v>2.3538999999999999</c:v>
                </c:pt>
                <c:pt idx="16">
                  <c:v>2.3832399999999998</c:v>
                </c:pt>
                <c:pt idx="17">
                  <c:v>2.4115000000000002</c:v>
                </c:pt>
                <c:pt idx="18">
                  <c:v>2.4385500000000002</c:v>
                </c:pt>
                <c:pt idx="19">
                  <c:v>2.4643299999999999</c:v>
                </c:pt>
                <c:pt idx="20">
                  <c:v>2.4888400000000002</c:v>
                </c:pt>
                <c:pt idx="21">
                  <c:v>2.5121199999999999</c:v>
                </c:pt>
                <c:pt idx="22">
                  <c:v>2.5341999999999998</c:v>
                </c:pt>
                <c:pt idx="23">
                  <c:v>2.5551400000000002</c:v>
                </c:pt>
              </c:numCache>
            </c:numRef>
          </c:val>
          <c:smooth val="0"/>
        </c:ser>
        <c:ser>
          <c:idx val="4"/>
          <c:order val="4"/>
          <c:tx>
            <c:strRef>
              <c:f>Figures!$A$7</c:f>
              <c:strCache>
                <c:ptCount val="1"/>
                <c:pt idx="0">
                  <c:v>Exports</c:v>
                </c:pt>
              </c:strCache>
            </c:strRef>
          </c:tx>
          <c:marker>
            <c:symbol val="none"/>
          </c:marker>
          <c:cat>
            <c:numRef>
              <c:f>Figures!$B$2:$Y$2</c:f>
              <c:numCache>
                <c:formatCode>General</c:formatCode>
                <c:ptCount val="2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pt idx="19">
                  <c:v>2031</c:v>
                </c:pt>
                <c:pt idx="20">
                  <c:v>2032</c:v>
                </c:pt>
                <c:pt idx="21">
                  <c:v>2033</c:v>
                </c:pt>
                <c:pt idx="22">
                  <c:v>2034</c:v>
                </c:pt>
                <c:pt idx="23">
                  <c:v>2035</c:v>
                </c:pt>
              </c:numCache>
            </c:numRef>
          </c:cat>
          <c:val>
            <c:numRef>
              <c:f>Figures!$B$7:$Y$7</c:f>
              <c:numCache>
                <c:formatCode>0.0</c:formatCode>
                <c:ptCount val="24"/>
                <c:pt idx="0">
                  <c:v>1.92944</c:v>
                </c:pt>
                <c:pt idx="1">
                  <c:v>-4.2521000000000004</c:v>
                </c:pt>
                <c:pt idx="2">
                  <c:v>0.29145199999999999</c:v>
                </c:pt>
                <c:pt idx="3">
                  <c:v>7.3963700000000001</c:v>
                </c:pt>
                <c:pt idx="4">
                  <c:v>4.6548400000000001</c:v>
                </c:pt>
                <c:pt idx="5">
                  <c:v>7.3483700000000001</c:v>
                </c:pt>
                <c:pt idx="6">
                  <c:v>7.3548</c:v>
                </c:pt>
                <c:pt idx="7">
                  <c:v>4.54392</c:v>
                </c:pt>
                <c:pt idx="8">
                  <c:v>4.5347900000000001</c:v>
                </c:pt>
                <c:pt idx="9">
                  <c:v>4.4492599999999998</c:v>
                </c:pt>
                <c:pt idx="10">
                  <c:v>4.3454499999999996</c:v>
                </c:pt>
                <c:pt idx="11">
                  <c:v>4.2387899999999998</c:v>
                </c:pt>
                <c:pt idx="12">
                  <c:v>4.1363000000000003</c:v>
                </c:pt>
                <c:pt idx="13">
                  <c:v>4.04033</c:v>
                </c:pt>
                <c:pt idx="14">
                  <c:v>3.9514399999999998</c:v>
                </c:pt>
                <c:pt idx="15">
                  <c:v>3.8696100000000002</c:v>
                </c:pt>
                <c:pt idx="16">
                  <c:v>3.7946399999999998</c:v>
                </c:pt>
                <c:pt idx="17">
                  <c:v>3.7262300000000002</c:v>
                </c:pt>
                <c:pt idx="18">
                  <c:v>3.66404</c:v>
                </c:pt>
                <c:pt idx="19">
                  <c:v>3.60772</c:v>
                </c:pt>
                <c:pt idx="20">
                  <c:v>3.55688</c:v>
                </c:pt>
                <c:pt idx="21">
                  <c:v>3.5111300000000001</c:v>
                </c:pt>
                <c:pt idx="22">
                  <c:v>3.4701</c:v>
                </c:pt>
                <c:pt idx="23">
                  <c:v>3.4334099999999999</c:v>
                </c:pt>
              </c:numCache>
            </c:numRef>
          </c:val>
          <c:smooth val="0"/>
        </c:ser>
        <c:ser>
          <c:idx val="5"/>
          <c:order val="5"/>
          <c:tx>
            <c:strRef>
              <c:f>Figures!$A$8</c:f>
              <c:strCache>
                <c:ptCount val="1"/>
                <c:pt idx="0">
                  <c:v>Imports</c:v>
                </c:pt>
              </c:strCache>
            </c:strRef>
          </c:tx>
          <c:marker>
            <c:symbol val="none"/>
          </c:marker>
          <c:cat>
            <c:numRef>
              <c:f>Figures!$B$2:$Y$2</c:f>
              <c:numCache>
                <c:formatCode>General</c:formatCode>
                <c:ptCount val="2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pt idx="19">
                  <c:v>2031</c:v>
                </c:pt>
                <c:pt idx="20">
                  <c:v>2032</c:v>
                </c:pt>
                <c:pt idx="21">
                  <c:v>2033</c:v>
                </c:pt>
                <c:pt idx="22">
                  <c:v>2034</c:v>
                </c:pt>
                <c:pt idx="23">
                  <c:v>2035</c:v>
                </c:pt>
              </c:numCache>
            </c:numRef>
          </c:cat>
          <c:val>
            <c:numRef>
              <c:f>Figures!$B$8:$Y$8</c:f>
              <c:numCache>
                <c:formatCode>0.0</c:formatCode>
                <c:ptCount val="24"/>
                <c:pt idx="0">
                  <c:v>6</c:v>
                </c:pt>
                <c:pt idx="1">
                  <c:v>1.8</c:v>
                </c:pt>
                <c:pt idx="2">
                  <c:v>-0.5</c:v>
                </c:pt>
                <c:pt idx="3">
                  <c:v>5.3</c:v>
                </c:pt>
                <c:pt idx="4">
                  <c:v>3.7</c:v>
                </c:pt>
                <c:pt idx="5">
                  <c:v>4.5</c:v>
                </c:pt>
                <c:pt idx="6">
                  <c:v>4.9000000000000004</c:v>
                </c:pt>
                <c:pt idx="7">
                  <c:v>2.9866899999999998</c:v>
                </c:pt>
                <c:pt idx="8">
                  <c:v>2.97681</c:v>
                </c:pt>
                <c:pt idx="9">
                  <c:v>2.9716800000000001</c:v>
                </c:pt>
                <c:pt idx="10">
                  <c:v>2.9691000000000001</c:v>
                </c:pt>
                <c:pt idx="11">
                  <c:v>2.9664100000000002</c:v>
                </c:pt>
                <c:pt idx="12">
                  <c:v>2.9624100000000002</c:v>
                </c:pt>
                <c:pt idx="13">
                  <c:v>2.9570500000000002</c:v>
                </c:pt>
                <c:pt idx="14">
                  <c:v>2.9507400000000001</c:v>
                </c:pt>
                <c:pt idx="15">
                  <c:v>2.9439299999999999</c:v>
                </c:pt>
                <c:pt idx="16">
                  <c:v>2.9370099999999999</c:v>
                </c:pt>
                <c:pt idx="17">
                  <c:v>2.9302999999999999</c:v>
                </c:pt>
                <c:pt idx="18">
                  <c:v>2.9239899999999999</c:v>
                </c:pt>
                <c:pt idx="19">
                  <c:v>2.91825</c:v>
                </c:pt>
                <c:pt idx="20">
                  <c:v>2.9131800000000001</c:v>
                </c:pt>
                <c:pt idx="21">
                  <c:v>2.9088599999999998</c:v>
                </c:pt>
                <c:pt idx="22">
                  <c:v>2.90537</c:v>
                </c:pt>
                <c:pt idx="23">
                  <c:v>2.9027400000000001</c:v>
                </c:pt>
              </c:numCache>
            </c:numRef>
          </c:val>
          <c:smooth val="0"/>
        </c:ser>
        <c:ser>
          <c:idx val="6"/>
          <c:order val="6"/>
          <c:tx>
            <c:strRef>
              <c:f>Figures!$A$9</c:f>
              <c:strCache>
                <c:ptCount val="1"/>
                <c:pt idx="0">
                  <c:v>Consumer Prices</c:v>
                </c:pt>
              </c:strCache>
            </c:strRef>
          </c:tx>
          <c:marker>
            <c:symbol val="none"/>
          </c:marker>
          <c:cat>
            <c:numRef>
              <c:f>Figures!$B$2:$Y$2</c:f>
              <c:numCache>
                <c:formatCode>General</c:formatCode>
                <c:ptCount val="2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pt idx="19">
                  <c:v>2031</c:v>
                </c:pt>
                <c:pt idx="20">
                  <c:v>2032</c:v>
                </c:pt>
                <c:pt idx="21">
                  <c:v>2033</c:v>
                </c:pt>
                <c:pt idx="22">
                  <c:v>2034</c:v>
                </c:pt>
                <c:pt idx="23">
                  <c:v>2035</c:v>
                </c:pt>
              </c:numCache>
            </c:numRef>
          </c:cat>
          <c:val>
            <c:numRef>
              <c:f>Figures!$B$9:$Y$9</c:f>
              <c:numCache>
                <c:formatCode>0.0</c:formatCode>
                <c:ptCount val="24"/>
                <c:pt idx="0">
                  <c:v>5.7</c:v>
                </c:pt>
                <c:pt idx="1">
                  <c:v>5.8</c:v>
                </c:pt>
                <c:pt idx="2">
                  <c:v>6.1</c:v>
                </c:pt>
                <c:pt idx="3">
                  <c:v>4.5999999999999996</c:v>
                </c:pt>
                <c:pt idx="4">
                  <c:v>6.8</c:v>
                </c:pt>
                <c:pt idx="5">
                  <c:v>6.3</c:v>
                </c:pt>
                <c:pt idx="6">
                  <c:v>5.9</c:v>
                </c:pt>
                <c:pt idx="7">
                  <c:v>5.5</c:v>
                </c:pt>
                <c:pt idx="8">
                  <c:v>5.5</c:v>
                </c:pt>
                <c:pt idx="9">
                  <c:v>5.5</c:v>
                </c:pt>
                <c:pt idx="10">
                  <c:v>5.5</c:v>
                </c:pt>
                <c:pt idx="11">
                  <c:v>5.5</c:v>
                </c:pt>
                <c:pt idx="12">
                  <c:v>5.5</c:v>
                </c:pt>
                <c:pt idx="13">
                  <c:v>5.5</c:v>
                </c:pt>
                <c:pt idx="14">
                  <c:v>5.5</c:v>
                </c:pt>
                <c:pt idx="15">
                  <c:v>5.5</c:v>
                </c:pt>
                <c:pt idx="16">
                  <c:v>5.5</c:v>
                </c:pt>
                <c:pt idx="17">
                  <c:v>5.5</c:v>
                </c:pt>
                <c:pt idx="18">
                  <c:v>5.5</c:v>
                </c:pt>
                <c:pt idx="19">
                  <c:v>5.5</c:v>
                </c:pt>
                <c:pt idx="20">
                  <c:v>5.5</c:v>
                </c:pt>
                <c:pt idx="21">
                  <c:v>5.5</c:v>
                </c:pt>
                <c:pt idx="22">
                  <c:v>5.5</c:v>
                </c:pt>
                <c:pt idx="23">
                  <c:v>5.5</c:v>
                </c:pt>
              </c:numCache>
            </c:numRef>
          </c:val>
          <c:smooth val="0"/>
        </c:ser>
        <c:ser>
          <c:idx val="7"/>
          <c:order val="7"/>
          <c:tx>
            <c:strRef>
              <c:f>Figures!$A$10</c:f>
              <c:strCache>
                <c:ptCount val="1"/>
                <c:pt idx="0">
                  <c:v>CO2 Emissions</c:v>
                </c:pt>
              </c:strCache>
            </c:strRef>
          </c:tx>
          <c:marker>
            <c:symbol val="none"/>
          </c:marker>
          <c:val>
            <c:numRef>
              <c:f>Figures!$B$10:$Y$10</c:f>
              <c:numCache>
                <c:formatCode>0.0</c:formatCode>
                <c:ptCount val="24"/>
                <c:pt idx="0">
                  <c:v>1.63947</c:v>
                </c:pt>
                <c:pt idx="1">
                  <c:v>1.3427199999999999</c:v>
                </c:pt>
                <c:pt idx="2">
                  <c:v>1.1335</c:v>
                </c:pt>
                <c:pt idx="3">
                  <c:v>0.39212399999999997</c:v>
                </c:pt>
                <c:pt idx="4">
                  <c:v>0.76284600000000002</c:v>
                </c:pt>
                <c:pt idx="5">
                  <c:v>1.9969699999999999</c:v>
                </c:pt>
                <c:pt idx="6">
                  <c:v>2.6660400000000002</c:v>
                </c:pt>
                <c:pt idx="7">
                  <c:v>3.6503199999999998</c:v>
                </c:pt>
                <c:pt idx="8">
                  <c:v>3.1558199999999998</c:v>
                </c:pt>
                <c:pt idx="9">
                  <c:v>3.0502799999999999</c:v>
                </c:pt>
                <c:pt idx="10">
                  <c:v>3.01003</c:v>
                </c:pt>
                <c:pt idx="11">
                  <c:v>2.9969000000000001</c:v>
                </c:pt>
                <c:pt idx="12">
                  <c:v>2.99403</c:v>
                </c:pt>
                <c:pt idx="13">
                  <c:v>2.99491</c:v>
                </c:pt>
                <c:pt idx="14">
                  <c:v>2.9966599999999999</c:v>
                </c:pt>
                <c:pt idx="15">
                  <c:v>2.9981100000000001</c:v>
                </c:pt>
                <c:pt idx="16">
                  <c:v>2.9988800000000002</c:v>
                </c:pt>
                <c:pt idx="17">
                  <c:v>2.9989499999999998</c:v>
                </c:pt>
                <c:pt idx="18">
                  <c:v>2.9984199999999999</c:v>
                </c:pt>
                <c:pt idx="19">
                  <c:v>2.99742</c:v>
                </c:pt>
                <c:pt idx="20">
                  <c:v>2.9960800000000001</c:v>
                </c:pt>
                <c:pt idx="21">
                  <c:v>2.9944999999999999</c:v>
                </c:pt>
                <c:pt idx="22">
                  <c:v>2.9927600000000001</c:v>
                </c:pt>
                <c:pt idx="23">
                  <c:v>2.9909300000000001</c:v>
                </c:pt>
              </c:numCache>
            </c:numRef>
          </c:val>
          <c:smooth val="0"/>
        </c:ser>
        <c:dLbls>
          <c:showLegendKey val="0"/>
          <c:showVal val="0"/>
          <c:showCatName val="0"/>
          <c:showSerName val="0"/>
          <c:showPercent val="0"/>
          <c:showBubbleSize val="0"/>
        </c:dLbls>
        <c:marker val="1"/>
        <c:smooth val="0"/>
        <c:axId val="250628352"/>
        <c:axId val="250630144"/>
      </c:lineChart>
      <c:catAx>
        <c:axId val="250628352"/>
        <c:scaling>
          <c:orientation val="minMax"/>
        </c:scaling>
        <c:delete val="0"/>
        <c:axPos val="b"/>
        <c:numFmt formatCode="General" sourceLinked="1"/>
        <c:majorTickMark val="out"/>
        <c:minorTickMark val="none"/>
        <c:tickLblPos val="nextTo"/>
        <c:crossAx val="250630144"/>
        <c:crosses val="autoZero"/>
        <c:auto val="1"/>
        <c:lblAlgn val="ctr"/>
        <c:lblOffset val="100"/>
        <c:noMultiLvlLbl val="0"/>
      </c:catAx>
      <c:valAx>
        <c:axId val="250630144"/>
        <c:scaling>
          <c:orientation val="minMax"/>
          <c:max val="8"/>
        </c:scaling>
        <c:delete val="0"/>
        <c:axPos val="l"/>
        <c:majorGridlines/>
        <c:numFmt formatCode="0.0" sourceLinked="1"/>
        <c:majorTickMark val="out"/>
        <c:minorTickMark val="none"/>
        <c:tickLblPos val="nextTo"/>
        <c:crossAx val="250628352"/>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'Ind 0Y'!$A$24</c:f>
              <c:strCache>
                <c:ptCount val="1"/>
                <c:pt idx="0">
                  <c:v>No recycling; exemptions phased out</c:v>
                </c:pt>
              </c:strCache>
            </c:strRef>
          </c:tx>
          <c:marker>
            <c:symbol val="none"/>
          </c:marker>
          <c:val>
            <c:numRef>
              <c:f>'Ind 0Y'!$B$24:$V$24</c:f>
              <c:numCache>
                <c:formatCode>General</c:formatCode>
                <c:ptCount val="21"/>
                <c:pt idx="0">
                  <c:v>0</c:v>
                </c:pt>
                <c:pt idx="1">
                  <c:v>-0.46560000000000001</c:v>
                </c:pt>
                <c:pt idx="2">
                  <c:v>-1.2652000000000001</c:v>
                </c:pt>
                <c:pt idx="3">
                  <c:v>-2.1863000000000001</c:v>
                </c:pt>
                <c:pt idx="4">
                  <c:v>-3.1415999999999999</c:v>
                </c:pt>
                <c:pt idx="5">
                  <c:v>-4.2628000000000004</c:v>
                </c:pt>
                <c:pt idx="6">
                  <c:v>-5.4268000000000001</c:v>
                </c:pt>
                <c:pt idx="7">
                  <c:v>-6.8628</c:v>
                </c:pt>
                <c:pt idx="8">
                  <c:v>-8.6059000000000001</c:v>
                </c:pt>
                <c:pt idx="9">
                  <c:v>-10.6615</c:v>
                </c:pt>
                <c:pt idx="10">
                  <c:v>-13.013199999999999</c:v>
                </c:pt>
                <c:pt idx="11">
                  <c:v>-15.6304</c:v>
                </c:pt>
                <c:pt idx="12">
                  <c:v>-18.473700000000001</c:v>
                </c:pt>
                <c:pt idx="13">
                  <c:v>-21.438500000000001</c:v>
                </c:pt>
                <c:pt idx="14">
                  <c:v>-24.476500000000001</c:v>
                </c:pt>
                <c:pt idx="15">
                  <c:v>-27.378399999999999</c:v>
                </c:pt>
                <c:pt idx="16">
                  <c:v>-30.1252</c:v>
                </c:pt>
                <c:pt idx="17">
                  <c:v>-32.7102</c:v>
                </c:pt>
                <c:pt idx="18">
                  <c:v>-35.133000000000003</c:v>
                </c:pt>
                <c:pt idx="19">
                  <c:v>-37.397100000000002</c:v>
                </c:pt>
                <c:pt idx="20">
                  <c:v>-39.5075</c:v>
                </c:pt>
              </c:numCache>
            </c:numRef>
          </c:val>
          <c:smooth val="0"/>
        </c:ser>
        <c:ser>
          <c:idx val="2"/>
          <c:order val="1"/>
          <c:tx>
            <c:strRef>
              <c:f>'Ind 1Y'!$A$24</c:f>
              <c:strCache>
                <c:ptCount val="1"/>
                <c:pt idx="0">
                  <c:v>Recycling through VAT</c:v>
                </c:pt>
              </c:strCache>
            </c:strRef>
          </c:tx>
          <c:marker>
            <c:symbol val="none"/>
          </c:marker>
          <c:val>
            <c:numRef>
              <c:f>'Ind 1Y'!$B$24:$V$24</c:f>
              <c:numCache>
                <c:formatCode>General</c:formatCode>
                <c:ptCount val="21"/>
                <c:pt idx="0">
                  <c:v>0</c:v>
                </c:pt>
                <c:pt idx="1">
                  <c:v>-0.17169999999999999</c:v>
                </c:pt>
                <c:pt idx="2">
                  <c:v>-0.58299999999999996</c:v>
                </c:pt>
                <c:pt idx="3">
                  <c:v>-1.0878000000000001</c:v>
                </c:pt>
                <c:pt idx="4">
                  <c:v>-1.5565</c:v>
                </c:pt>
                <c:pt idx="5">
                  <c:v>-2.1326999999999998</c:v>
                </c:pt>
                <c:pt idx="6">
                  <c:v>-2.7296999999999998</c:v>
                </c:pt>
                <c:pt idx="7">
                  <c:v>-3.5213000000000001</c:v>
                </c:pt>
                <c:pt idx="8">
                  <c:v>-4.5198999999999998</c:v>
                </c:pt>
                <c:pt idx="9">
                  <c:v>-5.7218999999999998</c:v>
                </c:pt>
                <c:pt idx="10">
                  <c:v>-7.1132999999999997</c:v>
                </c:pt>
                <c:pt idx="11">
                  <c:v>-8.6739999999999995</c:v>
                </c:pt>
                <c:pt idx="12">
                  <c:v>-10.379899999999999</c:v>
                </c:pt>
                <c:pt idx="13">
                  <c:v>-12.1858</c:v>
                </c:pt>
                <c:pt idx="14">
                  <c:v>-14.1005</c:v>
                </c:pt>
                <c:pt idx="15">
                  <c:v>-15.950699999999999</c:v>
                </c:pt>
                <c:pt idx="16">
                  <c:v>-17.7332</c:v>
                </c:pt>
                <c:pt idx="17">
                  <c:v>-19.4496</c:v>
                </c:pt>
                <c:pt idx="18">
                  <c:v>-21.1035</c:v>
                </c:pt>
                <c:pt idx="19">
                  <c:v>-22.6996</c:v>
                </c:pt>
                <c:pt idx="20">
                  <c:v>-24.2424</c:v>
                </c:pt>
              </c:numCache>
            </c:numRef>
          </c:val>
          <c:smooth val="0"/>
        </c:ser>
        <c:ser>
          <c:idx val="3"/>
          <c:order val="2"/>
          <c:tx>
            <c:strRef>
              <c:f>'Ind 2Y'!$A$24</c:f>
              <c:strCache>
                <c:ptCount val="1"/>
                <c:pt idx="0">
                  <c:v>Recycling through subsidy on Green Gen</c:v>
                </c:pt>
              </c:strCache>
            </c:strRef>
          </c:tx>
          <c:marker>
            <c:symbol val="none"/>
          </c:marker>
          <c:val>
            <c:numRef>
              <c:f>'Ind 2Y'!$B$24:$V$24</c:f>
              <c:numCache>
                <c:formatCode>General</c:formatCode>
                <c:ptCount val="21"/>
                <c:pt idx="0">
                  <c:v>0</c:v>
                </c:pt>
                <c:pt idx="1">
                  <c:v>0.3871</c:v>
                </c:pt>
                <c:pt idx="2">
                  <c:v>0.127</c:v>
                </c:pt>
                <c:pt idx="3">
                  <c:v>-0.41470000000000001</c:v>
                </c:pt>
                <c:pt idx="4">
                  <c:v>-0.78169999999999995</c:v>
                </c:pt>
                <c:pt idx="5">
                  <c:v>-1.2994000000000001</c:v>
                </c:pt>
                <c:pt idx="6">
                  <c:v>-1.9125000000000001</c:v>
                </c:pt>
                <c:pt idx="7">
                  <c:v>-2.6896</c:v>
                </c:pt>
                <c:pt idx="8">
                  <c:v>-3.6898</c:v>
                </c:pt>
                <c:pt idx="9">
                  <c:v>-4.9419000000000004</c:v>
                </c:pt>
                <c:pt idx="10">
                  <c:v>-6.4542999999999999</c:v>
                </c:pt>
                <c:pt idx="11">
                  <c:v>-8.2230000000000008</c:v>
                </c:pt>
                <c:pt idx="12">
                  <c:v>-10.2349</c:v>
                </c:pt>
                <c:pt idx="13">
                  <c:v>-12.4391</c:v>
                </c:pt>
                <c:pt idx="14">
                  <c:v>-14.8485</c:v>
                </c:pt>
                <c:pt idx="15">
                  <c:v>-17.2743</c:v>
                </c:pt>
                <c:pt idx="16">
                  <c:v>-19.708300000000001</c:v>
                </c:pt>
                <c:pt idx="17">
                  <c:v>-22.1508</c:v>
                </c:pt>
                <c:pt idx="18">
                  <c:v>-24.606000000000002</c:v>
                </c:pt>
                <c:pt idx="19">
                  <c:v>-27.08</c:v>
                </c:pt>
                <c:pt idx="20">
                  <c:v>-29.578700000000001</c:v>
                </c:pt>
              </c:numCache>
            </c:numRef>
          </c:val>
          <c:smooth val="0"/>
        </c:ser>
        <c:dLbls>
          <c:showLegendKey val="0"/>
          <c:showVal val="0"/>
          <c:showCatName val="0"/>
          <c:showSerName val="0"/>
          <c:showPercent val="0"/>
          <c:showBubbleSize val="0"/>
        </c:dLbls>
        <c:marker val="1"/>
        <c:smooth val="0"/>
        <c:axId val="332743808"/>
        <c:axId val="332745344"/>
      </c:lineChart>
      <c:catAx>
        <c:axId val="332743808"/>
        <c:scaling>
          <c:orientation val="minMax"/>
        </c:scaling>
        <c:delete val="0"/>
        <c:axPos val="b"/>
        <c:majorTickMark val="out"/>
        <c:minorTickMark val="none"/>
        <c:tickLblPos val="nextTo"/>
        <c:crossAx val="332745344"/>
        <c:crosses val="autoZero"/>
        <c:auto val="1"/>
        <c:lblAlgn val="ctr"/>
        <c:lblOffset val="100"/>
        <c:noMultiLvlLbl val="0"/>
      </c:catAx>
      <c:valAx>
        <c:axId val="332745344"/>
        <c:scaling>
          <c:orientation val="minMax"/>
        </c:scaling>
        <c:delete val="0"/>
        <c:axPos val="l"/>
        <c:majorGridlines/>
        <c:title>
          <c:tx>
            <c:rich>
              <a:bodyPr rot="-5400000" vert="horz"/>
              <a:lstStyle/>
              <a:p>
                <a:pPr>
                  <a:defRPr/>
                </a:pPr>
                <a:r>
                  <a:rPr lang="en-US"/>
                  <a:t>Cumulative % change</a:t>
                </a:r>
              </a:p>
            </c:rich>
          </c:tx>
          <c:overlay val="0"/>
        </c:title>
        <c:numFmt formatCode="General" sourceLinked="1"/>
        <c:majorTickMark val="out"/>
        <c:minorTickMark val="none"/>
        <c:tickLblPos val="nextTo"/>
        <c:crossAx val="33274380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Figures!$A$45</c:f>
              <c:strCache>
                <c:ptCount val="1"/>
                <c:pt idx="0">
                  <c:v>Real GDP</c:v>
                </c:pt>
              </c:strCache>
            </c:strRef>
          </c:tx>
          <c:marker>
            <c:symbol val="none"/>
          </c:marker>
          <c:cat>
            <c:numRef>
              <c:f>Figures!$B$44:$Y$44</c:f>
              <c:numCache>
                <c:formatCode>General</c:formatCode>
                <c:ptCount val="2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pt idx="19">
                  <c:v>2031</c:v>
                </c:pt>
                <c:pt idx="20">
                  <c:v>2032</c:v>
                </c:pt>
                <c:pt idx="21">
                  <c:v>2033</c:v>
                </c:pt>
                <c:pt idx="22">
                  <c:v>2034</c:v>
                </c:pt>
                <c:pt idx="23">
                  <c:v>2035</c:v>
                </c:pt>
              </c:numCache>
            </c:numRef>
          </c:cat>
          <c:val>
            <c:numRef>
              <c:f>Figures!$B$45:$Y$45</c:f>
              <c:numCache>
                <c:formatCode>0.0</c:formatCode>
                <c:ptCount val="24"/>
                <c:pt idx="0">
                  <c:v>2.2000000000000002</c:v>
                </c:pt>
                <c:pt idx="1">
                  <c:v>4.4484000000000004</c:v>
                </c:pt>
                <c:pt idx="2">
                  <c:v>6.0151300000000001</c:v>
                </c:pt>
                <c:pt idx="3">
                  <c:v>7.3933299999999997</c:v>
                </c:pt>
                <c:pt idx="4">
                  <c:v>8.3598700000000008</c:v>
                </c:pt>
                <c:pt idx="5">
                  <c:v>10.202</c:v>
                </c:pt>
                <c:pt idx="6">
                  <c:v>12.8468</c:v>
                </c:pt>
                <c:pt idx="7">
                  <c:v>16.232199999999999</c:v>
                </c:pt>
                <c:pt idx="8">
                  <c:v>19.719200000000001</c:v>
                </c:pt>
                <c:pt idx="9">
                  <c:v>23.3108</c:v>
                </c:pt>
                <c:pt idx="10">
                  <c:v>27.010100000000001</c:v>
                </c:pt>
                <c:pt idx="11">
                  <c:v>30.820399999999999</c:v>
                </c:pt>
                <c:pt idx="12">
                  <c:v>34.744999999999997</c:v>
                </c:pt>
                <c:pt idx="13">
                  <c:v>38.787399999999998</c:v>
                </c:pt>
                <c:pt idx="14">
                  <c:v>42.951000000000001</c:v>
                </c:pt>
                <c:pt idx="15">
                  <c:v>47.2395</c:v>
                </c:pt>
                <c:pt idx="16">
                  <c:v>51.656700000000001</c:v>
                </c:pt>
                <c:pt idx="17">
                  <c:v>56.206400000000002</c:v>
                </c:pt>
                <c:pt idx="18">
                  <c:v>60.892600000000002</c:v>
                </c:pt>
                <c:pt idx="19">
                  <c:v>65.719399999999993</c:v>
                </c:pt>
                <c:pt idx="20">
                  <c:v>70.691000000000003</c:v>
                </c:pt>
                <c:pt idx="21">
                  <c:v>75.811700000000002</c:v>
                </c:pt>
                <c:pt idx="22">
                  <c:v>81.085999999999999</c:v>
                </c:pt>
                <c:pt idx="23">
                  <c:v>86.518600000000006</c:v>
                </c:pt>
              </c:numCache>
            </c:numRef>
          </c:val>
          <c:smooth val="0"/>
        </c:ser>
        <c:ser>
          <c:idx val="1"/>
          <c:order val="1"/>
          <c:tx>
            <c:strRef>
              <c:f>Figures!$A$46</c:f>
              <c:strCache>
                <c:ptCount val="1"/>
                <c:pt idx="0">
                  <c:v>Capital</c:v>
                </c:pt>
              </c:strCache>
            </c:strRef>
          </c:tx>
          <c:marker>
            <c:symbol val="none"/>
          </c:marker>
          <c:cat>
            <c:numRef>
              <c:f>Figures!$B$44:$Y$44</c:f>
              <c:numCache>
                <c:formatCode>General</c:formatCode>
                <c:ptCount val="2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pt idx="19">
                  <c:v>2031</c:v>
                </c:pt>
                <c:pt idx="20">
                  <c:v>2032</c:v>
                </c:pt>
                <c:pt idx="21">
                  <c:v>2033</c:v>
                </c:pt>
                <c:pt idx="22">
                  <c:v>2034</c:v>
                </c:pt>
                <c:pt idx="23">
                  <c:v>2035</c:v>
                </c:pt>
              </c:numCache>
            </c:numRef>
          </c:cat>
          <c:val>
            <c:numRef>
              <c:f>Figures!$B$46:$Y$46</c:f>
              <c:numCache>
                <c:formatCode>0.0</c:formatCode>
                <c:ptCount val="24"/>
                <c:pt idx="0">
                  <c:v>0.78185700000000002</c:v>
                </c:pt>
                <c:pt idx="1">
                  <c:v>1.7972300000000001</c:v>
                </c:pt>
                <c:pt idx="2">
                  <c:v>3.3933499999999999</c:v>
                </c:pt>
                <c:pt idx="3">
                  <c:v>4.8148299999999997</c:v>
                </c:pt>
                <c:pt idx="4">
                  <c:v>6.3922800000000004</c:v>
                </c:pt>
                <c:pt idx="5">
                  <c:v>7.8332100000000002</c:v>
                </c:pt>
                <c:pt idx="6">
                  <c:v>9.2701200000000004</c:v>
                </c:pt>
                <c:pt idx="7">
                  <c:v>10.8291</c:v>
                </c:pt>
                <c:pt idx="8">
                  <c:v>12.5649</c:v>
                </c:pt>
                <c:pt idx="9">
                  <c:v>14.509399999999999</c:v>
                </c:pt>
                <c:pt idx="10">
                  <c:v>16.670200000000001</c:v>
                </c:pt>
                <c:pt idx="11">
                  <c:v>19.05</c:v>
                </c:pt>
                <c:pt idx="12">
                  <c:v>21.65</c:v>
                </c:pt>
                <c:pt idx="13">
                  <c:v>24.470700000000001</c:v>
                </c:pt>
                <c:pt idx="14">
                  <c:v>27.5124</c:v>
                </c:pt>
                <c:pt idx="15">
                  <c:v>30.774699999999999</c:v>
                </c:pt>
                <c:pt idx="16">
                  <c:v>34.257800000000003</c:v>
                </c:pt>
                <c:pt idx="17">
                  <c:v>37.961599999999997</c:v>
                </c:pt>
                <c:pt idx="18">
                  <c:v>41.886200000000002</c:v>
                </c:pt>
                <c:pt idx="19">
                  <c:v>46.031799999999997</c:v>
                </c:pt>
                <c:pt idx="20">
                  <c:v>50.399000000000001</c:v>
                </c:pt>
                <c:pt idx="21">
                  <c:v>54.988500000000002</c:v>
                </c:pt>
                <c:pt idx="22">
                  <c:v>59.801299999999998</c:v>
                </c:pt>
                <c:pt idx="23">
                  <c:v>64.838700000000003</c:v>
                </c:pt>
              </c:numCache>
            </c:numRef>
          </c:val>
          <c:smooth val="0"/>
        </c:ser>
        <c:ser>
          <c:idx val="2"/>
          <c:order val="2"/>
          <c:tx>
            <c:strRef>
              <c:f>Figures!$A$47</c:f>
              <c:strCache>
                <c:ptCount val="1"/>
                <c:pt idx="0">
                  <c:v>Labour</c:v>
                </c:pt>
              </c:strCache>
            </c:strRef>
          </c:tx>
          <c:marker>
            <c:symbol val="none"/>
          </c:marker>
          <c:cat>
            <c:numRef>
              <c:f>Figures!$B$44:$Y$44</c:f>
              <c:numCache>
                <c:formatCode>General</c:formatCode>
                <c:ptCount val="2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pt idx="19">
                  <c:v>2031</c:v>
                </c:pt>
                <c:pt idx="20">
                  <c:v>2032</c:v>
                </c:pt>
                <c:pt idx="21">
                  <c:v>2033</c:v>
                </c:pt>
                <c:pt idx="22">
                  <c:v>2034</c:v>
                </c:pt>
                <c:pt idx="23">
                  <c:v>2035</c:v>
                </c:pt>
              </c:numCache>
            </c:numRef>
          </c:cat>
          <c:val>
            <c:numRef>
              <c:f>Figures!$B$47:$Y$47</c:f>
              <c:numCache>
                <c:formatCode>0.0</c:formatCode>
                <c:ptCount val="24"/>
                <c:pt idx="0">
                  <c:v>1</c:v>
                </c:pt>
                <c:pt idx="1">
                  <c:v>2.0099999999999998</c:v>
                </c:pt>
                <c:pt idx="2">
                  <c:v>3.0301</c:v>
                </c:pt>
                <c:pt idx="3">
                  <c:v>4.0603999999999996</c:v>
                </c:pt>
                <c:pt idx="4">
                  <c:v>5.1010099999999996</c:v>
                </c:pt>
                <c:pt idx="5">
                  <c:v>6.1520200000000003</c:v>
                </c:pt>
                <c:pt idx="6">
                  <c:v>7.2135400000000001</c:v>
                </c:pt>
                <c:pt idx="7">
                  <c:v>8.2856699999999996</c:v>
                </c:pt>
                <c:pt idx="8">
                  <c:v>9.3685299999999998</c:v>
                </c:pt>
                <c:pt idx="9">
                  <c:v>10.462199999999999</c:v>
                </c:pt>
                <c:pt idx="10">
                  <c:v>11.566800000000001</c:v>
                </c:pt>
                <c:pt idx="11">
                  <c:v>12.682499999999999</c:v>
                </c:pt>
                <c:pt idx="12">
                  <c:v>13.8093</c:v>
                </c:pt>
                <c:pt idx="13">
                  <c:v>14.9474</c:v>
                </c:pt>
                <c:pt idx="14">
                  <c:v>16.096900000000002</c:v>
                </c:pt>
                <c:pt idx="15">
                  <c:v>17.257899999999999</c:v>
                </c:pt>
                <c:pt idx="16">
                  <c:v>18.430399999999999</c:v>
                </c:pt>
                <c:pt idx="17">
                  <c:v>19.614699999999999</c:v>
                </c:pt>
                <c:pt idx="18">
                  <c:v>20.8109</c:v>
                </c:pt>
                <c:pt idx="19">
                  <c:v>22.018999999999998</c:v>
                </c:pt>
                <c:pt idx="20">
                  <c:v>23.2392</c:v>
                </c:pt>
                <c:pt idx="21">
                  <c:v>24.471599999999999</c:v>
                </c:pt>
                <c:pt idx="22">
                  <c:v>25.7163</c:v>
                </c:pt>
                <c:pt idx="23">
                  <c:v>26.973500000000001</c:v>
                </c:pt>
              </c:numCache>
            </c:numRef>
          </c:val>
          <c:smooth val="0"/>
        </c:ser>
        <c:ser>
          <c:idx val="3"/>
          <c:order val="3"/>
          <c:tx>
            <c:strRef>
              <c:f>Figures!$A$48</c:f>
              <c:strCache>
                <c:ptCount val="1"/>
                <c:pt idx="0">
                  <c:v>Technology</c:v>
                </c:pt>
              </c:strCache>
            </c:strRef>
          </c:tx>
          <c:marker>
            <c:symbol val="none"/>
          </c:marker>
          <c:cat>
            <c:numRef>
              <c:f>Figures!$B$44:$Y$44</c:f>
              <c:numCache>
                <c:formatCode>General</c:formatCode>
                <c:ptCount val="2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pt idx="19">
                  <c:v>2031</c:v>
                </c:pt>
                <c:pt idx="20">
                  <c:v>2032</c:v>
                </c:pt>
                <c:pt idx="21">
                  <c:v>2033</c:v>
                </c:pt>
                <c:pt idx="22">
                  <c:v>2034</c:v>
                </c:pt>
                <c:pt idx="23">
                  <c:v>2035</c:v>
                </c:pt>
              </c:numCache>
            </c:numRef>
          </c:cat>
          <c:val>
            <c:numRef>
              <c:f>Figures!$B$48:$Y$48</c:f>
              <c:numCache>
                <c:formatCode>0.0</c:formatCode>
                <c:ptCount val="24"/>
                <c:pt idx="0">
                  <c:v>1.23197</c:v>
                </c:pt>
                <c:pt idx="1">
                  <c:v>2.2726500000000001</c:v>
                </c:pt>
                <c:pt idx="2">
                  <c:v>2.4954499999999999</c:v>
                </c:pt>
                <c:pt idx="3">
                  <c:v>2.9255900000000001</c:v>
                </c:pt>
                <c:pt idx="4">
                  <c:v>2.7987700000000002</c:v>
                </c:pt>
                <c:pt idx="5">
                  <c:v>3.4212799999999999</c:v>
                </c:pt>
                <c:pt idx="6">
                  <c:v>4.6730900000000002</c:v>
                </c:pt>
                <c:pt idx="7">
                  <c:v>6.4132199999999999</c:v>
                </c:pt>
                <c:pt idx="8">
                  <c:v>8.1184700000000003</c:v>
                </c:pt>
                <c:pt idx="9">
                  <c:v>9.7762100000000007</c:v>
                </c:pt>
                <c:pt idx="10">
                  <c:v>11.3832</c:v>
                </c:pt>
                <c:pt idx="11">
                  <c:v>12.938499999999999</c:v>
                </c:pt>
                <c:pt idx="12">
                  <c:v>14.442600000000001</c:v>
                </c:pt>
                <c:pt idx="13">
                  <c:v>15.896800000000001</c:v>
                </c:pt>
                <c:pt idx="14">
                  <c:v>17.302700000000002</c:v>
                </c:pt>
                <c:pt idx="15">
                  <c:v>18.662600000000001</c:v>
                </c:pt>
                <c:pt idx="16">
                  <c:v>19.979099999999999</c:v>
                </c:pt>
                <c:pt idx="17">
                  <c:v>21.254799999999999</c:v>
                </c:pt>
                <c:pt idx="18">
                  <c:v>22.492799999999999</c:v>
                </c:pt>
                <c:pt idx="19">
                  <c:v>23.696100000000001</c:v>
                </c:pt>
                <c:pt idx="20">
                  <c:v>24.867899999999999</c:v>
                </c:pt>
                <c:pt idx="21">
                  <c:v>26.011099999999999</c:v>
                </c:pt>
                <c:pt idx="22">
                  <c:v>27.129000000000001</c:v>
                </c:pt>
                <c:pt idx="23">
                  <c:v>28.224599999999999</c:v>
                </c:pt>
              </c:numCache>
            </c:numRef>
          </c:val>
          <c:smooth val="0"/>
        </c:ser>
        <c:dLbls>
          <c:showLegendKey val="0"/>
          <c:showVal val="0"/>
          <c:showCatName val="0"/>
          <c:showSerName val="0"/>
          <c:showPercent val="0"/>
          <c:showBubbleSize val="0"/>
        </c:dLbls>
        <c:marker val="1"/>
        <c:smooth val="0"/>
        <c:axId val="250674176"/>
        <c:axId val="250680064"/>
      </c:lineChart>
      <c:catAx>
        <c:axId val="250674176"/>
        <c:scaling>
          <c:orientation val="minMax"/>
        </c:scaling>
        <c:delete val="0"/>
        <c:axPos val="b"/>
        <c:numFmt formatCode="General" sourceLinked="1"/>
        <c:majorTickMark val="out"/>
        <c:minorTickMark val="none"/>
        <c:tickLblPos val="nextTo"/>
        <c:crossAx val="250680064"/>
        <c:crosses val="autoZero"/>
        <c:auto val="1"/>
        <c:lblAlgn val="ctr"/>
        <c:lblOffset val="100"/>
        <c:noMultiLvlLbl val="0"/>
      </c:catAx>
      <c:valAx>
        <c:axId val="250680064"/>
        <c:scaling>
          <c:orientation val="minMax"/>
          <c:max val="90"/>
        </c:scaling>
        <c:delete val="0"/>
        <c:axPos val="l"/>
        <c:majorGridlines/>
        <c:numFmt formatCode="0.0" sourceLinked="1"/>
        <c:majorTickMark val="out"/>
        <c:minorTickMark val="none"/>
        <c:tickLblPos val="nextTo"/>
        <c:crossAx val="25067417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8707456649886"/>
          <c:y val="3.7613717706774255E-2"/>
          <c:w val="0.86627133083774366"/>
          <c:h val="0.80872746795080364"/>
        </c:manualLayout>
      </c:layout>
      <c:lineChart>
        <c:grouping val="standard"/>
        <c:varyColors val="0"/>
        <c:ser>
          <c:idx val="0"/>
          <c:order val="0"/>
          <c:tx>
            <c:strRef>
              <c:f>'Mac 0X'!$B$136</c:f>
              <c:strCache>
                <c:ptCount val="1"/>
                <c:pt idx="0">
                  <c:v>No recycling with exemptions</c:v>
                </c:pt>
              </c:strCache>
            </c:strRef>
          </c:tx>
          <c:marker>
            <c:symbol val="none"/>
          </c:marker>
          <c:val>
            <c:numRef>
              <c:f>'Mac 0X'!$C$136:$W$136</c:f>
              <c:numCache>
                <c:formatCode>General</c:formatCode>
                <c:ptCount val="21"/>
                <c:pt idx="0">
                  <c:v>0</c:v>
                </c:pt>
                <c:pt idx="1">
                  <c:v>-0.9929</c:v>
                </c:pt>
                <c:pt idx="2">
                  <c:v>-2.2572000000000001</c:v>
                </c:pt>
                <c:pt idx="3">
                  <c:v>-3.7134</c:v>
                </c:pt>
                <c:pt idx="4">
                  <c:v>-5.5827999999999998</c:v>
                </c:pt>
                <c:pt idx="5">
                  <c:v>-7.5267999999999997</c:v>
                </c:pt>
                <c:pt idx="6">
                  <c:v>-9.4762000000000004</c:v>
                </c:pt>
                <c:pt idx="7">
                  <c:v>-11.4313</c:v>
                </c:pt>
                <c:pt idx="8">
                  <c:v>-13.394299999999999</c:v>
                </c:pt>
                <c:pt idx="9">
                  <c:v>-15.3653</c:v>
                </c:pt>
                <c:pt idx="10">
                  <c:v>-17.345400000000001</c:v>
                </c:pt>
                <c:pt idx="11">
                  <c:v>-19.336099999999998</c:v>
                </c:pt>
                <c:pt idx="12">
                  <c:v>-21.339700000000001</c:v>
                </c:pt>
                <c:pt idx="13">
                  <c:v>-23.359200000000001</c:v>
                </c:pt>
                <c:pt idx="14">
                  <c:v>-25.3979</c:v>
                </c:pt>
                <c:pt idx="15">
                  <c:v>-27.459800000000001</c:v>
                </c:pt>
                <c:pt idx="16">
                  <c:v>-29.5489</c:v>
                </c:pt>
                <c:pt idx="17">
                  <c:v>-31.6694</c:v>
                </c:pt>
                <c:pt idx="18">
                  <c:v>-33.825600000000001</c:v>
                </c:pt>
                <c:pt idx="19">
                  <c:v>-36.021299999999997</c:v>
                </c:pt>
                <c:pt idx="20">
                  <c:v>-38.259599999999999</c:v>
                </c:pt>
              </c:numCache>
            </c:numRef>
          </c:val>
          <c:smooth val="0"/>
        </c:ser>
        <c:ser>
          <c:idx val="1"/>
          <c:order val="1"/>
          <c:tx>
            <c:strRef>
              <c:f>'Mac 0Y'!$B$136</c:f>
              <c:strCache>
                <c:ptCount val="1"/>
                <c:pt idx="0">
                  <c:v>No recycling; Exemptions phased out</c:v>
                </c:pt>
              </c:strCache>
            </c:strRef>
          </c:tx>
          <c:marker>
            <c:symbol val="none"/>
          </c:marker>
          <c:val>
            <c:numRef>
              <c:f>'Mac 0Y'!$C$136:$W$136</c:f>
              <c:numCache>
                <c:formatCode>General</c:formatCode>
                <c:ptCount val="21"/>
                <c:pt idx="0">
                  <c:v>0</c:v>
                </c:pt>
                <c:pt idx="1">
                  <c:v>-0.9929</c:v>
                </c:pt>
                <c:pt idx="2">
                  <c:v>-2.2572000000000001</c:v>
                </c:pt>
                <c:pt idx="3">
                  <c:v>-3.7132999999999998</c:v>
                </c:pt>
                <c:pt idx="4">
                  <c:v>-5.5827</c:v>
                </c:pt>
                <c:pt idx="5">
                  <c:v>-7.5266999999999999</c:v>
                </c:pt>
                <c:pt idx="6">
                  <c:v>-9.4761000000000006</c:v>
                </c:pt>
                <c:pt idx="7">
                  <c:v>-11.624499999999999</c:v>
                </c:pt>
                <c:pt idx="8">
                  <c:v>-13.975300000000001</c:v>
                </c:pt>
                <c:pt idx="9">
                  <c:v>-16.5152</c:v>
                </c:pt>
                <c:pt idx="10">
                  <c:v>-19.229299999999999</c:v>
                </c:pt>
                <c:pt idx="11">
                  <c:v>-22.104600000000001</c:v>
                </c:pt>
                <c:pt idx="12">
                  <c:v>-25.1297</c:v>
                </c:pt>
                <c:pt idx="13">
                  <c:v>-28.236899999999999</c:v>
                </c:pt>
                <c:pt idx="14">
                  <c:v>-31.3749</c:v>
                </c:pt>
                <c:pt idx="15">
                  <c:v>-34.5182</c:v>
                </c:pt>
                <c:pt idx="16">
                  <c:v>-37.658999999999999</c:v>
                </c:pt>
                <c:pt idx="17">
                  <c:v>-40.792000000000002</c:v>
                </c:pt>
                <c:pt idx="18">
                  <c:v>-43.913699999999999</c:v>
                </c:pt>
                <c:pt idx="19">
                  <c:v>-47.0214</c:v>
                </c:pt>
                <c:pt idx="20">
                  <c:v>-50.112699999999997</c:v>
                </c:pt>
              </c:numCache>
            </c:numRef>
          </c:val>
          <c:smooth val="0"/>
        </c:ser>
        <c:dLbls>
          <c:showLegendKey val="0"/>
          <c:showVal val="0"/>
          <c:showCatName val="0"/>
          <c:showSerName val="0"/>
          <c:showPercent val="0"/>
          <c:showBubbleSize val="0"/>
        </c:dLbls>
        <c:marker val="1"/>
        <c:smooth val="0"/>
        <c:axId val="251292288"/>
        <c:axId val="251294080"/>
      </c:lineChart>
      <c:catAx>
        <c:axId val="251292288"/>
        <c:scaling>
          <c:orientation val="minMax"/>
        </c:scaling>
        <c:delete val="0"/>
        <c:axPos val="b"/>
        <c:majorTickMark val="out"/>
        <c:minorTickMark val="none"/>
        <c:tickLblPos val="nextTo"/>
        <c:crossAx val="251294080"/>
        <c:crosses val="autoZero"/>
        <c:auto val="1"/>
        <c:lblAlgn val="ctr"/>
        <c:lblOffset val="100"/>
        <c:noMultiLvlLbl val="0"/>
      </c:catAx>
      <c:valAx>
        <c:axId val="251294080"/>
        <c:scaling>
          <c:orientation val="minMax"/>
        </c:scaling>
        <c:delete val="0"/>
        <c:axPos val="l"/>
        <c:majorGridlines/>
        <c:title>
          <c:tx>
            <c:rich>
              <a:bodyPr rot="-5400000" vert="horz"/>
              <a:lstStyle/>
              <a:p>
                <a:pPr>
                  <a:defRPr/>
                </a:pPr>
                <a:r>
                  <a:rPr lang="en-US"/>
                  <a:t>Cumulative % change</a:t>
                </a:r>
              </a:p>
            </c:rich>
          </c:tx>
          <c:overlay val="0"/>
        </c:title>
        <c:numFmt formatCode="General" sourceLinked="1"/>
        <c:majorTickMark val="out"/>
        <c:minorTickMark val="none"/>
        <c:tickLblPos val="nextTo"/>
        <c:crossAx val="25129228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'Mac 0X'!$B$123</c:f>
              <c:strCache>
                <c:ptCount val="1"/>
                <c:pt idx="0">
                  <c:v>No recycling with exemptions</c:v>
                </c:pt>
              </c:strCache>
            </c:strRef>
          </c:tx>
          <c:marker>
            <c:symbol val="none"/>
          </c:marker>
          <c:val>
            <c:numRef>
              <c:f>'Mac 0X'!$C$123:$W$123</c:f>
              <c:numCache>
                <c:formatCode>General</c:formatCode>
                <c:ptCount val="21"/>
                <c:pt idx="0">
                  <c:v>0</c:v>
                </c:pt>
                <c:pt idx="1">
                  <c:v>-0.20480000000000001</c:v>
                </c:pt>
                <c:pt idx="2">
                  <c:v>-0.433</c:v>
                </c:pt>
                <c:pt idx="3">
                  <c:v>-0.67659999999999998</c:v>
                </c:pt>
                <c:pt idx="4">
                  <c:v>-0.96489999999999998</c:v>
                </c:pt>
                <c:pt idx="5">
                  <c:v>-1.2838000000000001</c:v>
                </c:pt>
                <c:pt idx="6">
                  <c:v>-1.6237999999999999</c:v>
                </c:pt>
                <c:pt idx="7">
                  <c:v>-1.9827999999999999</c:v>
                </c:pt>
                <c:pt idx="8">
                  <c:v>-2.3548</c:v>
                </c:pt>
                <c:pt idx="9">
                  <c:v>-2.7330000000000001</c:v>
                </c:pt>
                <c:pt idx="10">
                  <c:v>-3.1114000000000002</c:v>
                </c:pt>
                <c:pt idx="11">
                  <c:v>-3.4851000000000001</c:v>
                </c:pt>
                <c:pt idx="12">
                  <c:v>-3.8506999999999998</c:v>
                </c:pt>
                <c:pt idx="13">
                  <c:v>-4.2058</c:v>
                </c:pt>
                <c:pt idx="14">
                  <c:v>-4.5490000000000004</c:v>
                </c:pt>
                <c:pt idx="15">
                  <c:v>-4.8796999999999997</c:v>
                </c:pt>
                <c:pt idx="16">
                  <c:v>-5.1980000000000004</c:v>
                </c:pt>
                <c:pt idx="17">
                  <c:v>-5.5044000000000004</c:v>
                </c:pt>
                <c:pt idx="18">
                  <c:v>-5.7995000000000001</c:v>
                </c:pt>
                <c:pt idx="19">
                  <c:v>-6.0845000000000002</c:v>
                </c:pt>
                <c:pt idx="20">
                  <c:v>-6.3601999999999999</c:v>
                </c:pt>
              </c:numCache>
            </c:numRef>
          </c:val>
          <c:smooth val="0"/>
        </c:ser>
        <c:ser>
          <c:idx val="3"/>
          <c:order val="1"/>
          <c:tx>
            <c:strRef>
              <c:f>'Mac 0Y'!$B$123</c:f>
              <c:strCache>
                <c:ptCount val="1"/>
                <c:pt idx="0">
                  <c:v>No recycling; Exemptions phased out</c:v>
                </c:pt>
              </c:strCache>
            </c:strRef>
          </c:tx>
          <c:marker>
            <c:symbol val="none"/>
          </c:marker>
          <c:val>
            <c:numRef>
              <c:f>'Mac 0Y'!$C$123:$W$123</c:f>
              <c:numCache>
                <c:formatCode>General</c:formatCode>
                <c:ptCount val="21"/>
                <c:pt idx="0">
                  <c:v>0</c:v>
                </c:pt>
                <c:pt idx="1">
                  <c:v>-0.20480000000000001</c:v>
                </c:pt>
                <c:pt idx="2">
                  <c:v>-0.433</c:v>
                </c:pt>
                <c:pt idx="3">
                  <c:v>-0.67659999999999998</c:v>
                </c:pt>
                <c:pt idx="4">
                  <c:v>-0.96489999999999998</c:v>
                </c:pt>
                <c:pt idx="5">
                  <c:v>-1.2838000000000001</c:v>
                </c:pt>
                <c:pt idx="6">
                  <c:v>-1.6237999999999999</c:v>
                </c:pt>
                <c:pt idx="7">
                  <c:v>-2.0516999999999999</c:v>
                </c:pt>
                <c:pt idx="8">
                  <c:v>-2.5676999999999999</c:v>
                </c:pt>
                <c:pt idx="9">
                  <c:v>-3.1751</c:v>
                </c:pt>
                <c:pt idx="10">
                  <c:v>-3.8784999999999998</c:v>
                </c:pt>
                <c:pt idx="11">
                  <c:v>-4.6814999999999998</c:v>
                </c:pt>
                <c:pt idx="12">
                  <c:v>-5.5857999999999999</c:v>
                </c:pt>
                <c:pt idx="13">
                  <c:v>-6.5582000000000003</c:v>
                </c:pt>
                <c:pt idx="14">
                  <c:v>-7.5664999999999996</c:v>
                </c:pt>
                <c:pt idx="15">
                  <c:v>-8.5935000000000006</c:v>
                </c:pt>
                <c:pt idx="16">
                  <c:v>-9.6275999999999993</c:v>
                </c:pt>
                <c:pt idx="17">
                  <c:v>-10.658799999999999</c:v>
                </c:pt>
                <c:pt idx="18">
                  <c:v>-11.678900000000001</c:v>
                </c:pt>
                <c:pt idx="19">
                  <c:v>-12.6816</c:v>
                </c:pt>
                <c:pt idx="20">
                  <c:v>-13.662100000000001</c:v>
                </c:pt>
              </c:numCache>
            </c:numRef>
          </c:val>
          <c:smooth val="0"/>
        </c:ser>
        <c:dLbls>
          <c:showLegendKey val="0"/>
          <c:showVal val="0"/>
          <c:showCatName val="0"/>
          <c:showSerName val="0"/>
          <c:showPercent val="0"/>
          <c:showBubbleSize val="0"/>
        </c:dLbls>
        <c:marker val="1"/>
        <c:smooth val="0"/>
        <c:axId val="251303040"/>
        <c:axId val="251304576"/>
      </c:lineChart>
      <c:catAx>
        <c:axId val="251303040"/>
        <c:scaling>
          <c:orientation val="minMax"/>
        </c:scaling>
        <c:delete val="0"/>
        <c:axPos val="b"/>
        <c:majorTickMark val="out"/>
        <c:minorTickMark val="none"/>
        <c:tickLblPos val="nextTo"/>
        <c:crossAx val="251304576"/>
        <c:crosses val="autoZero"/>
        <c:auto val="1"/>
        <c:lblAlgn val="ctr"/>
        <c:lblOffset val="100"/>
        <c:noMultiLvlLbl val="0"/>
      </c:catAx>
      <c:valAx>
        <c:axId val="251304576"/>
        <c:scaling>
          <c:orientation val="minMax"/>
        </c:scaling>
        <c:delete val="0"/>
        <c:axPos val="l"/>
        <c:majorGridlines/>
        <c:title>
          <c:tx>
            <c:rich>
              <a:bodyPr rot="-5400000" vert="horz"/>
              <a:lstStyle/>
              <a:p>
                <a:pPr>
                  <a:defRPr/>
                </a:pPr>
                <a:r>
                  <a:rPr lang="en-US"/>
                  <a:t>Cumulative % change</a:t>
                </a:r>
              </a:p>
            </c:rich>
          </c:tx>
          <c:overlay val="0"/>
        </c:title>
        <c:numFmt formatCode="General" sourceLinked="1"/>
        <c:majorTickMark val="out"/>
        <c:minorTickMark val="none"/>
        <c:tickLblPos val="nextTo"/>
        <c:crossAx val="251303040"/>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'Ind 0Y'!$A$2</c:f>
              <c:strCache>
                <c:ptCount val="1"/>
                <c:pt idx="0">
                  <c:v>1 Agriculture</c:v>
                </c:pt>
              </c:strCache>
            </c:strRef>
          </c:tx>
          <c:marker>
            <c:symbol val="none"/>
          </c:marker>
          <c:val>
            <c:numRef>
              <c:f>'Ind 0Y'!$B$2:$V$2</c:f>
              <c:numCache>
                <c:formatCode>General</c:formatCode>
                <c:ptCount val="21"/>
                <c:pt idx="0">
                  <c:v>0</c:v>
                </c:pt>
                <c:pt idx="1">
                  <c:v>-2.5899999999999999E-2</c:v>
                </c:pt>
                <c:pt idx="2">
                  <c:v>-5.4300000000000001E-2</c:v>
                </c:pt>
                <c:pt idx="3">
                  <c:v>-8.48E-2</c:v>
                </c:pt>
                <c:pt idx="4">
                  <c:v>-0.1225</c:v>
                </c:pt>
                <c:pt idx="5">
                  <c:v>-0.16889999999999999</c:v>
                </c:pt>
                <c:pt idx="6">
                  <c:v>-0.2258</c:v>
                </c:pt>
                <c:pt idx="7">
                  <c:v>-0.30049999999999999</c:v>
                </c:pt>
                <c:pt idx="8">
                  <c:v>-0.38919999999999999</c:v>
                </c:pt>
                <c:pt idx="9">
                  <c:v>-0.4919</c:v>
                </c:pt>
                <c:pt idx="10">
                  <c:v>-0.61050000000000004</c:v>
                </c:pt>
                <c:pt idx="11">
                  <c:v>-0.747</c:v>
                </c:pt>
                <c:pt idx="12">
                  <c:v>-0.91020000000000001</c:v>
                </c:pt>
                <c:pt idx="13">
                  <c:v>-1.0989</c:v>
                </c:pt>
                <c:pt idx="14">
                  <c:v>-1.3105</c:v>
                </c:pt>
                <c:pt idx="15">
                  <c:v>-1.5432999999999999</c:v>
                </c:pt>
                <c:pt idx="16">
                  <c:v>-1.7923</c:v>
                </c:pt>
                <c:pt idx="17">
                  <c:v>-2.0514999999999999</c:v>
                </c:pt>
                <c:pt idx="18">
                  <c:v>-2.3148</c:v>
                </c:pt>
                <c:pt idx="19">
                  <c:v>-2.5769000000000002</c:v>
                </c:pt>
                <c:pt idx="20">
                  <c:v>-2.8336999999999999</c:v>
                </c:pt>
              </c:numCache>
            </c:numRef>
          </c:val>
          <c:smooth val="0"/>
        </c:ser>
        <c:ser>
          <c:idx val="3"/>
          <c:order val="1"/>
          <c:tx>
            <c:strRef>
              <c:f>'Ind 0Y'!$A$5</c:f>
              <c:strCache>
                <c:ptCount val="1"/>
                <c:pt idx="0">
                  <c:v>4 CoalLignite</c:v>
                </c:pt>
              </c:strCache>
            </c:strRef>
          </c:tx>
          <c:marker>
            <c:symbol val="none"/>
          </c:marker>
          <c:val>
            <c:numRef>
              <c:f>'Ind 0Y'!$B$5:$V$5</c:f>
              <c:numCache>
                <c:formatCode>General</c:formatCode>
                <c:ptCount val="21"/>
                <c:pt idx="0">
                  <c:v>0</c:v>
                </c:pt>
                <c:pt idx="1">
                  <c:v>-3.0099999999999998E-2</c:v>
                </c:pt>
                <c:pt idx="2">
                  <c:v>-0.1022</c:v>
                </c:pt>
                <c:pt idx="3">
                  <c:v>-0.22140000000000001</c:v>
                </c:pt>
                <c:pt idx="4">
                  <c:v>-0.40379999999999999</c:v>
                </c:pt>
                <c:pt idx="5">
                  <c:v>-0.64970000000000006</c:v>
                </c:pt>
                <c:pt idx="6">
                  <c:v>-0.9526</c:v>
                </c:pt>
                <c:pt idx="7">
                  <c:v>-1.2998000000000001</c:v>
                </c:pt>
                <c:pt idx="8">
                  <c:v>-1.6775</c:v>
                </c:pt>
                <c:pt idx="9">
                  <c:v>-2.0836999999999999</c:v>
                </c:pt>
                <c:pt idx="10">
                  <c:v>-2.5207000000000002</c:v>
                </c:pt>
                <c:pt idx="11">
                  <c:v>-2.9912000000000001</c:v>
                </c:pt>
                <c:pt idx="12">
                  <c:v>-3.4973000000000001</c:v>
                </c:pt>
                <c:pt idx="13">
                  <c:v>-4.0396000000000001</c:v>
                </c:pt>
                <c:pt idx="14">
                  <c:v>-4.6215999999999999</c:v>
                </c:pt>
                <c:pt idx="15">
                  <c:v>-5.2397999999999998</c:v>
                </c:pt>
                <c:pt idx="16">
                  <c:v>-5.8853999999999997</c:v>
                </c:pt>
                <c:pt idx="17">
                  <c:v>-6.5491000000000001</c:v>
                </c:pt>
                <c:pt idx="18">
                  <c:v>-7.2228000000000003</c:v>
                </c:pt>
                <c:pt idx="19">
                  <c:v>-7.9005999999999998</c:v>
                </c:pt>
                <c:pt idx="20">
                  <c:v>-8.5786999999999995</c:v>
                </c:pt>
              </c:numCache>
            </c:numRef>
          </c:val>
          <c:smooth val="0"/>
        </c:ser>
        <c:ser>
          <c:idx val="4"/>
          <c:order val="2"/>
          <c:tx>
            <c:strRef>
              <c:f>'Ind 0Y'!$A$6</c:f>
              <c:strCache>
                <c:ptCount val="1"/>
                <c:pt idx="0">
                  <c:v>5 MetalOres</c:v>
                </c:pt>
              </c:strCache>
            </c:strRef>
          </c:tx>
          <c:marker>
            <c:symbol val="none"/>
          </c:marker>
          <c:val>
            <c:numRef>
              <c:f>'Ind 0Y'!$B$6:$V$6</c:f>
              <c:numCache>
                <c:formatCode>General</c:formatCode>
                <c:ptCount val="21"/>
                <c:pt idx="0">
                  <c:v>0</c:v>
                </c:pt>
                <c:pt idx="1">
                  <c:v>4.4200000000000003E-2</c:v>
                </c:pt>
                <c:pt idx="2">
                  <c:v>4.7600000000000003E-2</c:v>
                </c:pt>
                <c:pt idx="3">
                  <c:v>3.4700000000000002E-2</c:v>
                </c:pt>
                <c:pt idx="4">
                  <c:v>1.5599999999999999E-2</c:v>
                </c:pt>
                <c:pt idx="5">
                  <c:v>-3.0200000000000001E-2</c:v>
                </c:pt>
                <c:pt idx="6">
                  <c:v>-9.8400000000000001E-2</c:v>
                </c:pt>
                <c:pt idx="7">
                  <c:v>-0.1762</c:v>
                </c:pt>
                <c:pt idx="8">
                  <c:v>-0.25719999999999998</c:v>
                </c:pt>
                <c:pt idx="9">
                  <c:v>-0.34100000000000003</c:v>
                </c:pt>
                <c:pt idx="10">
                  <c:v>-0.42909999999999998</c:v>
                </c:pt>
                <c:pt idx="11">
                  <c:v>-0.52190000000000003</c:v>
                </c:pt>
                <c:pt idx="12">
                  <c:v>-0.61870000000000003</c:v>
                </c:pt>
                <c:pt idx="13">
                  <c:v>-0.71530000000000005</c:v>
                </c:pt>
                <c:pt idx="14">
                  <c:v>-0.81140000000000001</c:v>
                </c:pt>
                <c:pt idx="15">
                  <c:v>-0.90390000000000004</c:v>
                </c:pt>
                <c:pt idx="16">
                  <c:v>-0.98799999999999999</c:v>
                </c:pt>
                <c:pt idx="17">
                  <c:v>-1.0590999999999999</c:v>
                </c:pt>
                <c:pt idx="18">
                  <c:v>-1.1141000000000001</c:v>
                </c:pt>
                <c:pt idx="19">
                  <c:v>-1.1511</c:v>
                </c:pt>
                <c:pt idx="20">
                  <c:v>-1.1700999999999999</c:v>
                </c:pt>
              </c:numCache>
            </c:numRef>
          </c:val>
          <c:smooth val="0"/>
        </c:ser>
        <c:ser>
          <c:idx val="5"/>
          <c:order val="3"/>
          <c:tx>
            <c:strRef>
              <c:f>'Ind 0Y'!$A$7</c:f>
              <c:strCache>
                <c:ptCount val="1"/>
                <c:pt idx="0">
                  <c:v>6 CrudeGas</c:v>
                </c:pt>
              </c:strCache>
            </c:strRef>
          </c:tx>
          <c:marker>
            <c:symbol val="none"/>
          </c:marker>
          <c:val>
            <c:numRef>
              <c:f>'Ind 0Y'!$B$7:$V$7</c:f>
              <c:numCache>
                <c:formatCode>General</c:formatCode>
                <c:ptCount val="21"/>
                <c:pt idx="0">
                  <c:v>0</c:v>
                </c:pt>
                <c:pt idx="1">
                  <c:v>2.4799999999999999E-2</c:v>
                </c:pt>
                <c:pt idx="2">
                  <c:v>3.4000000000000002E-2</c:v>
                </c:pt>
                <c:pt idx="3">
                  <c:v>4.0599999999999997E-2</c:v>
                </c:pt>
                <c:pt idx="4">
                  <c:v>3.3300000000000003E-2</c:v>
                </c:pt>
                <c:pt idx="5">
                  <c:v>-4.4000000000000003E-3</c:v>
                </c:pt>
                <c:pt idx="6">
                  <c:v>-7.0199999999999999E-2</c:v>
                </c:pt>
                <c:pt idx="7">
                  <c:v>-0.1474</c:v>
                </c:pt>
                <c:pt idx="8">
                  <c:v>-0.2291</c:v>
                </c:pt>
                <c:pt idx="9">
                  <c:v>-0.31530000000000002</c:v>
                </c:pt>
                <c:pt idx="10">
                  <c:v>-0.4078</c:v>
                </c:pt>
                <c:pt idx="11">
                  <c:v>-0.50749999999999995</c:v>
                </c:pt>
                <c:pt idx="12">
                  <c:v>-0.61429999999999996</c:v>
                </c:pt>
                <c:pt idx="13">
                  <c:v>-0.72860000000000003</c:v>
                </c:pt>
                <c:pt idx="14">
                  <c:v>-0.84919999999999995</c:v>
                </c:pt>
                <c:pt idx="15">
                  <c:v>-0.97350000000000003</c:v>
                </c:pt>
                <c:pt idx="16">
                  <c:v>-1.0962000000000001</c:v>
                </c:pt>
                <c:pt idx="17">
                  <c:v>-1.2114</c:v>
                </c:pt>
                <c:pt idx="18">
                  <c:v>-1.3147</c:v>
                </c:pt>
                <c:pt idx="19">
                  <c:v>-1.4034</c:v>
                </c:pt>
                <c:pt idx="20">
                  <c:v>-1.4764999999999999</c:v>
                </c:pt>
              </c:numCache>
            </c:numRef>
          </c:val>
          <c:smooth val="0"/>
        </c:ser>
        <c:ser>
          <c:idx val="13"/>
          <c:order val="4"/>
          <c:tx>
            <c:strRef>
              <c:f>'Ind 0Y'!$A$15</c:f>
              <c:strCache>
                <c:ptCount val="1"/>
                <c:pt idx="0">
                  <c:v>14 CokeOven</c:v>
                </c:pt>
              </c:strCache>
            </c:strRef>
          </c:tx>
          <c:marker>
            <c:symbol val="none"/>
          </c:marker>
          <c:val>
            <c:numRef>
              <c:f>'Ind 0Y'!$B$15:$V$15</c:f>
              <c:numCache>
                <c:formatCode>General</c:formatCode>
                <c:ptCount val="21"/>
                <c:pt idx="0">
                  <c:v>0</c:v>
                </c:pt>
                <c:pt idx="1">
                  <c:v>-0.67589999999999995</c:v>
                </c:pt>
                <c:pt idx="2">
                  <c:v>-1.4160999999999999</c:v>
                </c:pt>
                <c:pt idx="3">
                  <c:v>-2.3788999999999998</c:v>
                </c:pt>
                <c:pt idx="4">
                  <c:v>-3.5916999999999999</c:v>
                </c:pt>
                <c:pt idx="5">
                  <c:v>-4.8478000000000003</c:v>
                </c:pt>
                <c:pt idx="6">
                  <c:v>-6.1542000000000003</c:v>
                </c:pt>
                <c:pt idx="7">
                  <c:v>-7.7042999999999999</c:v>
                </c:pt>
                <c:pt idx="8">
                  <c:v>-9.5643999999999991</c:v>
                </c:pt>
                <c:pt idx="9">
                  <c:v>-11.7514</c:v>
                </c:pt>
                <c:pt idx="10">
                  <c:v>-14.251799999999999</c:v>
                </c:pt>
                <c:pt idx="11">
                  <c:v>-17.034800000000001</c:v>
                </c:pt>
                <c:pt idx="12">
                  <c:v>-20.059100000000001</c:v>
                </c:pt>
                <c:pt idx="13">
                  <c:v>-23.264099999999999</c:v>
                </c:pt>
                <c:pt idx="14">
                  <c:v>-26.410900000000002</c:v>
                </c:pt>
                <c:pt idx="15">
                  <c:v>-29.453099999999999</c:v>
                </c:pt>
                <c:pt idx="16">
                  <c:v>-32.367199999999997</c:v>
                </c:pt>
                <c:pt idx="17">
                  <c:v>-35.142499999999998</c:v>
                </c:pt>
                <c:pt idx="18">
                  <c:v>-37.775799999999997</c:v>
                </c:pt>
                <c:pt idx="19">
                  <c:v>-40.267600000000002</c:v>
                </c:pt>
                <c:pt idx="20">
                  <c:v>-42.621200000000002</c:v>
                </c:pt>
              </c:numCache>
            </c:numRef>
          </c:val>
          <c:smooth val="0"/>
        </c:ser>
        <c:ser>
          <c:idx val="14"/>
          <c:order val="5"/>
          <c:tx>
            <c:strRef>
              <c:f>'Ind 0Y'!$A$16</c:f>
              <c:strCache>
                <c:ptCount val="1"/>
                <c:pt idx="0">
                  <c:v>15 PetroRef</c:v>
                </c:pt>
              </c:strCache>
            </c:strRef>
          </c:tx>
          <c:marker>
            <c:symbol val="none"/>
          </c:marker>
          <c:val>
            <c:numRef>
              <c:f>'Ind 0Y'!$B$16:$V$16</c:f>
              <c:numCache>
                <c:formatCode>General</c:formatCode>
                <c:ptCount val="21"/>
                <c:pt idx="0">
                  <c:v>0</c:v>
                </c:pt>
                <c:pt idx="1">
                  <c:v>-0.98350000000000004</c:v>
                </c:pt>
                <c:pt idx="2">
                  <c:v>-1.7426999999999999</c:v>
                </c:pt>
                <c:pt idx="3">
                  <c:v>-2.5638999999999998</c:v>
                </c:pt>
                <c:pt idx="4">
                  <c:v>-3.7387000000000001</c:v>
                </c:pt>
                <c:pt idx="5">
                  <c:v>-5.0560999999999998</c:v>
                </c:pt>
                <c:pt idx="6">
                  <c:v>-6.4635999999999996</c:v>
                </c:pt>
                <c:pt idx="7">
                  <c:v>-8.1461000000000006</c:v>
                </c:pt>
                <c:pt idx="8">
                  <c:v>-10.137600000000001</c:v>
                </c:pt>
                <c:pt idx="9">
                  <c:v>-12.4495</c:v>
                </c:pt>
                <c:pt idx="10">
                  <c:v>-15.064</c:v>
                </c:pt>
                <c:pt idx="11">
                  <c:v>-17.939900000000002</c:v>
                </c:pt>
                <c:pt idx="12">
                  <c:v>-21.018899999999999</c:v>
                </c:pt>
                <c:pt idx="13">
                  <c:v>-24.22</c:v>
                </c:pt>
                <c:pt idx="14">
                  <c:v>-27.302800000000001</c:v>
                </c:pt>
                <c:pt idx="15">
                  <c:v>-30.229800000000001</c:v>
                </c:pt>
                <c:pt idx="16">
                  <c:v>-32.987000000000002</c:v>
                </c:pt>
                <c:pt idx="17">
                  <c:v>-35.572499999999998</c:v>
                </c:pt>
                <c:pt idx="18">
                  <c:v>-37.990200000000002</c:v>
                </c:pt>
                <c:pt idx="19">
                  <c:v>-40.246299999999998</c:v>
                </c:pt>
                <c:pt idx="20">
                  <c:v>-42.347299999999997</c:v>
                </c:pt>
              </c:numCache>
            </c:numRef>
          </c:val>
          <c:smooth val="0"/>
        </c:ser>
        <c:ser>
          <c:idx val="22"/>
          <c:order val="6"/>
          <c:tx>
            <c:strRef>
              <c:f>'Ind 0Y'!$A$24</c:f>
              <c:strCache>
                <c:ptCount val="1"/>
                <c:pt idx="0">
                  <c:v>No recycling; exemptions phased out</c:v>
                </c:pt>
              </c:strCache>
            </c:strRef>
          </c:tx>
          <c:marker>
            <c:symbol val="none"/>
          </c:marker>
          <c:val>
            <c:numRef>
              <c:f>'Ind 0Y'!$B$24:$V$24</c:f>
              <c:numCache>
                <c:formatCode>General</c:formatCode>
                <c:ptCount val="21"/>
                <c:pt idx="0">
                  <c:v>0</c:v>
                </c:pt>
                <c:pt idx="1">
                  <c:v>-0.46560000000000001</c:v>
                </c:pt>
                <c:pt idx="2">
                  <c:v>-1.2652000000000001</c:v>
                </c:pt>
                <c:pt idx="3">
                  <c:v>-2.1863000000000001</c:v>
                </c:pt>
                <c:pt idx="4">
                  <c:v>-3.1415999999999999</c:v>
                </c:pt>
                <c:pt idx="5">
                  <c:v>-4.2628000000000004</c:v>
                </c:pt>
                <c:pt idx="6">
                  <c:v>-5.4268000000000001</c:v>
                </c:pt>
                <c:pt idx="7">
                  <c:v>-6.8628</c:v>
                </c:pt>
                <c:pt idx="8">
                  <c:v>-8.6059000000000001</c:v>
                </c:pt>
                <c:pt idx="9">
                  <c:v>-10.6615</c:v>
                </c:pt>
                <c:pt idx="10">
                  <c:v>-13.013199999999999</c:v>
                </c:pt>
                <c:pt idx="11">
                  <c:v>-15.6304</c:v>
                </c:pt>
                <c:pt idx="12">
                  <c:v>-18.473700000000001</c:v>
                </c:pt>
                <c:pt idx="13">
                  <c:v>-21.438500000000001</c:v>
                </c:pt>
                <c:pt idx="14">
                  <c:v>-24.476500000000001</c:v>
                </c:pt>
                <c:pt idx="15">
                  <c:v>-27.378399999999999</c:v>
                </c:pt>
                <c:pt idx="16">
                  <c:v>-30.1252</c:v>
                </c:pt>
                <c:pt idx="17">
                  <c:v>-32.7102</c:v>
                </c:pt>
                <c:pt idx="18">
                  <c:v>-35.133000000000003</c:v>
                </c:pt>
                <c:pt idx="19">
                  <c:v>-37.397100000000002</c:v>
                </c:pt>
                <c:pt idx="20">
                  <c:v>-39.5075</c:v>
                </c:pt>
              </c:numCache>
            </c:numRef>
          </c:val>
          <c:smooth val="0"/>
        </c:ser>
        <c:ser>
          <c:idx val="28"/>
          <c:order val="7"/>
          <c:tx>
            <c:strRef>
              <c:f>'Ind 0Y'!$A$30</c:f>
              <c:strCache>
                <c:ptCount val="1"/>
                <c:pt idx="0">
                  <c:v>29 OthManuf</c:v>
                </c:pt>
              </c:strCache>
            </c:strRef>
          </c:tx>
          <c:marker>
            <c:symbol val="none"/>
          </c:marker>
          <c:val>
            <c:numRef>
              <c:f>'Ind 0Y'!$B$30:$V$30</c:f>
              <c:numCache>
                <c:formatCode>General</c:formatCode>
                <c:ptCount val="21"/>
                <c:pt idx="0">
                  <c:v>0</c:v>
                </c:pt>
                <c:pt idx="1">
                  <c:v>-0.14810000000000001</c:v>
                </c:pt>
                <c:pt idx="2">
                  <c:v>-0.4113</c:v>
                </c:pt>
                <c:pt idx="3">
                  <c:v>-0.80800000000000005</c:v>
                </c:pt>
                <c:pt idx="4">
                  <c:v>-1.3784000000000001</c:v>
                </c:pt>
                <c:pt idx="5">
                  <c:v>-2.1124000000000001</c:v>
                </c:pt>
                <c:pt idx="6">
                  <c:v>-3.0150999999999999</c:v>
                </c:pt>
                <c:pt idx="7">
                  <c:v>-4.1326999999999998</c:v>
                </c:pt>
                <c:pt idx="8">
                  <c:v>-5.5114000000000001</c:v>
                </c:pt>
                <c:pt idx="9">
                  <c:v>-7.2011000000000003</c:v>
                </c:pt>
                <c:pt idx="10">
                  <c:v>-9.2501999999999995</c:v>
                </c:pt>
                <c:pt idx="11">
                  <c:v>-11.7018</c:v>
                </c:pt>
                <c:pt idx="12">
                  <c:v>-14.589600000000001</c:v>
                </c:pt>
                <c:pt idx="13">
                  <c:v>-17.935300000000002</c:v>
                </c:pt>
                <c:pt idx="14">
                  <c:v>-21.669599999999999</c:v>
                </c:pt>
                <c:pt idx="15">
                  <c:v>-25.716799999999999</c:v>
                </c:pt>
                <c:pt idx="16">
                  <c:v>-29.998200000000001</c:v>
                </c:pt>
                <c:pt idx="17">
                  <c:v>-34.439900000000002</c:v>
                </c:pt>
                <c:pt idx="18">
                  <c:v>-38.976999999999997</c:v>
                </c:pt>
                <c:pt idx="19">
                  <c:v>-43.557499999999997</c:v>
                </c:pt>
                <c:pt idx="20">
                  <c:v>-48.143700000000003</c:v>
                </c:pt>
              </c:numCache>
            </c:numRef>
          </c:val>
          <c:smooth val="0"/>
        </c:ser>
        <c:ser>
          <c:idx val="29"/>
          <c:order val="8"/>
          <c:tx>
            <c:strRef>
              <c:f>'Ind 0Y'!$A$31</c:f>
              <c:strCache>
                <c:ptCount val="1"/>
                <c:pt idx="0">
                  <c:v>30 CoalGen</c:v>
                </c:pt>
              </c:strCache>
            </c:strRef>
          </c:tx>
          <c:marker>
            <c:symbol val="none"/>
          </c:marker>
          <c:val>
            <c:numRef>
              <c:f>'Ind 0Y'!$B$31:$V$31</c:f>
              <c:numCache>
                <c:formatCode>General</c:formatCode>
                <c:ptCount val="21"/>
                <c:pt idx="0">
                  <c:v>0</c:v>
                </c:pt>
                <c:pt idx="1">
                  <c:v>-1.24</c:v>
                </c:pt>
                <c:pt idx="2">
                  <c:v>-3.1608000000000001</c:v>
                </c:pt>
                <c:pt idx="3">
                  <c:v>-5.3944000000000001</c:v>
                </c:pt>
                <c:pt idx="4">
                  <c:v>-8.2752999999999997</c:v>
                </c:pt>
                <c:pt idx="5">
                  <c:v>-11.260400000000001</c:v>
                </c:pt>
                <c:pt idx="6">
                  <c:v>-14.2325</c:v>
                </c:pt>
                <c:pt idx="7">
                  <c:v>-17.430800000000001</c:v>
                </c:pt>
                <c:pt idx="8">
                  <c:v>-20.845500000000001</c:v>
                </c:pt>
                <c:pt idx="9">
                  <c:v>-24.4404</c:v>
                </c:pt>
                <c:pt idx="10">
                  <c:v>-28.184999999999999</c:v>
                </c:pt>
                <c:pt idx="11">
                  <c:v>-32.06</c:v>
                </c:pt>
                <c:pt idx="12">
                  <c:v>-36.056399999999996</c:v>
                </c:pt>
                <c:pt idx="13">
                  <c:v>-40.080100000000002</c:v>
                </c:pt>
                <c:pt idx="14">
                  <c:v>-44.137900000000002</c:v>
                </c:pt>
                <c:pt idx="15">
                  <c:v>-48.234400000000001</c:v>
                </c:pt>
                <c:pt idx="16">
                  <c:v>-52.3797</c:v>
                </c:pt>
                <c:pt idx="17">
                  <c:v>-56.582000000000001</c:v>
                </c:pt>
                <c:pt idx="18">
                  <c:v>-60.8474</c:v>
                </c:pt>
                <c:pt idx="19">
                  <c:v>-65.180300000000003</c:v>
                </c:pt>
                <c:pt idx="20">
                  <c:v>-69.582599999999999</c:v>
                </c:pt>
              </c:numCache>
            </c:numRef>
          </c:val>
          <c:smooth val="0"/>
        </c:ser>
        <c:ser>
          <c:idx val="45"/>
          <c:order val="9"/>
          <c:tx>
            <c:strRef>
              <c:f>'Ind 0Y'!$A$47</c:f>
              <c:strCache>
                <c:ptCount val="1"/>
                <c:pt idx="0">
                  <c:v>46 InsuranSrv</c:v>
                </c:pt>
              </c:strCache>
            </c:strRef>
          </c:tx>
          <c:marker>
            <c:symbol val="none"/>
          </c:marker>
          <c:val>
            <c:numRef>
              <c:f>'Ind 0Y'!$B$47:$V$47</c:f>
              <c:numCache>
                <c:formatCode>General</c:formatCode>
                <c:ptCount val="21"/>
                <c:pt idx="0">
                  <c:v>0</c:v>
                </c:pt>
                <c:pt idx="1">
                  <c:v>-7.1400000000000005E-2</c:v>
                </c:pt>
                <c:pt idx="2">
                  <c:v>-0.1186</c:v>
                </c:pt>
                <c:pt idx="3">
                  <c:v>-0.14069999999999999</c:v>
                </c:pt>
                <c:pt idx="4">
                  <c:v>-0.14299999999999999</c:v>
                </c:pt>
                <c:pt idx="5">
                  <c:v>-0.11749999999999999</c:v>
                </c:pt>
                <c:pt idx="6">
                  <c:v>-6.7299999999999999E-2</c:v>
                </c:pt>
                <c:pt idx="7">
                  <c:v>-1.29E-2</c:v>
                </c:pt>
                <c:pt idx="8">
                  <c:v>5.7500000000000002E-2</c:v>
                </c:pt>
                <c:pt idx="9">
                  <c:v>0.1532</c:v>
                </c:pt>
                <c:pt idx="10">
                  <c:v>0.28220000000000001</c:v>
                </c:pt>
                <c:pt idx="11">
                  <c:v>0.45150000000000001</c:v>
                </c:pt>
                <c:pt idx="12">
                  <c:v>0.66869999999999996</c:v>
                </c:pt>
                <c:pt idx="13">
                  <c:v>0.94940000000000002</c:v>
                </c:pt>
                <c:pt idx="14">
                  <c:v>1.3015000000000001</c:v>
                </c:pt>
                <c:pt idx="15">
                  <c:v>1.7254</c:v>
                </c:pt>
                <c:pt idx="16">
                  <c:v>2.2216</c:v>
                </c:pt>
                <c:pt idx="17">
                  <c:v>2.7904</c:v>
                </c:pt>
                <c:pt idx="18">
                  <c:v>3.4315000000000002</c:v>
                </c:pt>
                <c:pt idx="19">
                  <c:v>4.1429999999999998</c:v>
                </c:pt>
                <c:pt idx="20">
                  <c:v>4.9215</c:v>
                </c:pt>
              </c:numCache>
            </c:numRef>
          </c:val>
          <c:smooth val="0"/>
        </c:ser>
        <c:dLbls>
          <c:showLegendKey val="0"/>
          <c:showVal val="0"/>
          <c:showCatName val="0"/>
          <c:showSerName val="0"/>
          <c:showPercent val="0"/>
          <c:showBubbleSize val="0"/>
        </c:dLbls>
        <c:marker val="1"/>
        <c:smooth val="0"/>
        <c:axId val="251438208"/>
        <c:axId val="251439744"/>
      </c:lineChart>
      <c:catAx>
        <c:axId val="251438208"/>
        <c:scaling>
          <c:orientation val="minMax"/>
        </c:scaling>
        <c:delete val="1"/>
        <c:axPos val="b"/>
        <c:majorTickMark val="out"/>
        <c:minorTickMark val="none"/>
        <c:tickLblPos val="nextTo"/>
        <c:crossAx val="251439744"/>
        <c:crosses val="autoZero"/>
        <c:auto val="1"/>
        <c:lblAlgn val="ctr"/>
        <c:lblOffset val="100"/>
        <c:noMultiLvlLbl val="0"/>
      </c:catAx>
      <c:valAx>
        <c:axId val="251439744"/>
        <c:scaling>
          <c:orientation val="minMax"/>
        </c:scaling>
        <c:delete val="0"/>
        <c:axPos val="l"/>
        <c:majorGridlines/>
        <c:title>
          <c:tx>
            <c:rich>
              <a:bodyPr rot="-5400000" vert="horz"/>
              <a:lstStyle/>
              <a:p>
                <a:pPr>
                  <a:defRPr/>
                </a:pPr>
                <a:r>
                  <a:rPr lang="en-US"/>
                  <a:t>Cumulative % change</a:t>
                </a:r>
              </a:p>
            </c:rich>
          </c:tx>
          <c:overlay val="0"/>
        </c:title>
        <c:numFmt formatCode="General" sourceLinked="1"/>
        <c:majorTickMark val="out"/>
        <c:minorTickMark val="none"/>
        <c:tickLblPos val="nextTo"/>
        <c:crossAx val="251438208"/>
        <c:crosses val="autoZero"/>
        <c:crossBetween val="between"/>
      </c:valAx>
    </c:plotArea>
    <c:legend>
      <c:legendPos val="b"/>
      <c:layout>
        <c:manualLayout>
          <c:xMode val="edge"/>
          <c:yMode val="edge"/>
          <c:x val="0.11822621009583105"/>
          <c:y val="0.72678516093661849"/>
          <c:w val="0.77240693750490486"/>
          <c:h val="0.25623794504073161"/>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Sheet3!$A$6</c:f>
              <c:strCache>
                <c:ptCount val="1"/>
                <c:pt idx="0">
                  <c:v>IronSteel</c:v>
                </c:pt>
              </c:strCache>
            </c:strRef>
          </c:tx>
          <c:marker>
            <c:symbol val="none"/>
          </c:marker>
          <c:cat>
            <c:numRef>
              <c:f>Sheet2!$B$35:$V$35</c:f>
              <c:numCache>
                <c:formatCode>General</c:formatCode>
                <c:ptCount val="21"/>
                <c:pt idx="0">
                  <c:v>2015</c:v>
                </c:pt>
                <c:pt idx="5">
                  <c:v>2020</c:v>
                </c:pt>
                <c:pt idx="10">
                  <c:v>2025</c:v>
                </c:pt>
                <c:pt idx="15">
                  <c:v>2030</c:v>
                </c:pt>
                <c:pt idx="20">
                  <c:v>2035</c:v>
                </c:pt>
              </c:numCache>
            </c:numRef>
          </c:cat>
          <c:val>
            <c:numRef>
              <c:f>Sheet3!$B$6:$V$6</c:f>
              <c:numCache>
                <c:formatCode>General</c:formatCode>
                <c:ptCount val="21"/>
                <c:pt idx="0">
                  <c:v>0</c:v>
                </c:pt>
                <c:pt idx="1">
                  <c:v>-0.18484999999999999</c:v>
                </c:pt>
                <c:pt idx="2">
                  <c:v>-0.63104000000000005</c:v>
                </c:pt>
                <c:pt idx="3">
                  <c:v>-1.16753</c:v>
                </c:pt>
                <c:pt idx="4">
                  <c:v>-1.8102199999999999</c:v>
                </c:pt>
                <c:pt idx="5">
                  <c:v>-2.5221300000000002</c:v>
                </c:pt>
                <c:pt idx="6">
                  <c:v>-3.2757000000000001</c:v>
                </c:pt>
                <c:pt idx="7">
                  <c:v>-4.18886</c:v>
                </c:pt>
                <c:pt idx="8">
                  <c:v>-5.3135099999999991</c:v>
                </c:pt>
                <c:pt idx="9">
                  <c:v>-6.6630199999999986</c:v>
                </c:pt>
                <c:pt idx="10">
                  <c:v>-8.2340899999999984</c:v>
                </c:pt>
                <c:pt idx="11">
                  <c:v>-10.016819999999999</c:v>
                </c:pt>
                <c:pt idx="12">
                  <c:v>-11.99427</c:v>
                </c:pt>
                <c:pt idx="13">
                  <c:v>-14.128080000000001</c:v>
                </c:pt>
                <c:pt idx="14">
                  <c:v>-16.394729999999999</c:v>
                </c:pt>
                <c:pt idx="15">
                  <c:v>-18.639720000000001</c:v>
                </c:pt>
                <c:pt idx="16">
                  <c:v>-20.83587</c:v>
                </c:pt>
                <c:pt idx="17">
                  <c:v>-22.973130000000001</c:v>
                </c:pt>
                <c:pt idx="18">
                  <c:v>-25.041530000000002</c:v>
                </c:pt>
                <c:pt idx="19">
                  <c:v>-27.039020000000001</c:v>
                </c:pt>
                <c:pt idx="20">
                  <c:v>-28.959199999999999</c:v>
                </c:pt>
              </c:numCache>
            </c:numRef>
          </c:val>
          <c:smooth val="0"/>
        </c:ser>
        <c:ser>
          <c:idx val="1"/>
          <c:order val="1"/>
          <c:tx>
            <c:strRef>
              <c:f>Sheet3!$A$7</c:f>
              <c:strCache>
                <c:ptCount val="1"/>
                <c:pt idx="0">
                  <c:v>OthManuf</c:v>
                </c:pt>
              </c:strCache>
            </c:strRef>
          </c:tx>
          <c:marker>
            <c:symbol val="none"/>
          </c:marker>
          <c:cat>
            <c:numRef>
              <c:f>Sheet2!$B$35:$V$35</c:f>
              <c:numCache>
                <c:formatCode>General</c:formatCode>
                <c:ptCount val="21"/>
                <c:pt idx="0">
                  <c:v>2015</c:v>
                </c:pt>
                <c:pt idx="5">
                  <c:v>2020</c:v>
                </c:pt>
                <c:pt idx="10">
                  <c:v>2025</c:v>
                </c:pt>
                <c:pt idx="15">
                  <c:v>2030</c:v>
                </c:pt>
                <c:pt idx="20">
                  <c:v>2035</c:v>
                </c:pt>
              </c:numCache>
            </c:numRef>
          </c:cat>
          <c:val>
            <c:numRef>
              <c:f>Sheet3!$B$7:$V$7</c:f>
              <c:numCache>
                <c:formatCode>General</c:formatCode>
                <c:ptCount val="21"/>
                <c:pt idx="0">
                  <c:v>0</c:v>
                </c:pt>
                <c:pt idx="1">
                  <c:v>0.12204</c:v>
                </c:pt>
                <c:pt idx="2">
                  <c:v>0.1203</c:v>
                </c:pt>
                <c:pt idx="3">
                  <c:v>1.9060000000000001E-2</c:v>
                </c:pt>
                <c:pt idx="4">
                  <c:v>-0.18842</c:v>
                </c:pt>
                <c:pt idx="5">
                  <c:v>-0.51034000000000002</c:v>
                </c:pt>
                <c:pt idx="6">
                  <c:v>-0.95847000000000004</c:v>
                </c:pt>
                <c:pt idx="7">
                  <c:v>-1.4885699999999999</c:v>
                </c:pt>
                <c:pt idx="8">
                  <c:v>-2.149449999999999</c:v>
                </c:pt>
                <c:pt idx="9">
                  <c:v>-2.9849299999999999</c:v>
                </c:pt>
                <c:pt idx="10">
                  <c:v>-4.04155</c:v>
                </c:pt>
                <c:pt idx="11">
                  <c:v>-5.3678799999999987</c:v>
                </c:pt>
                <c:pt idx="12">
                  <c:v>-7.0125799999999989</c:v>
                </c:pt>
                <c:pt idx="13">
                  <c:v>-9.0461699999999983</c:v>
                </c:pt>
                <c:pt idx="14">
                  <c:v>-11.49202</c:v>
                </c:pt>
                <c:pt idx="15">
                  <c:v>-14.338620000000001</c:v>
                </c:pt>
                <c:pt idx="16">
                  <c:v>-17.557980000000001</c:v>
                </c:pt>
                <c:pt idx="17">
                  <c:v>-21.11992</c:v>
                </c:pt>
                <c:pt idx="18">
                  <c:v>-24.99352</c:v>
                </c:pt>
                <c:pt idx="19">
                  <c:v>-29.14986</c:v>
                </c:pt>
                <c:pt idx="20">
                  <c:v>-33.562550000000002</c:v>
                </c:pt>
              </c:numCache>
            </c:numRef>
          </c:val>
          <c:smooth val="0"/>
        </c:ser>
        <c:dLbls>
          <c:showLegendKey val="0"/>
          <c:showVal val="0"/>
          <c:showCatName val="0"/>
          <c:showSerName val="0"/>
          <c:showPercent val="0"/>
          <c:showBubbleSize val="0"/>
        </c:dLbls>
        <c:marker val="1"/>
        <c:smooth val="0"/>
        <c:axId val="252646528"/>
        <c:axId val="252648064"/>
      </c:lineChart>
      <c:catAx>
        <c:axId val="252646528"/>
        <c:scaling>
          <c:orientation val="minMax"/>
        </c:scaling>
        <c:delete val="0"/>
        <c:axPos val="b"/>
        <c:numFmt formatCode="General" sourceLinked="1"/>
        <c:majorTickMark val="cross"/>
        <c:minorTickMark val="none"/>
        <c:tickLblPos val="nextTo"/>
        <c:spPr>
          <a:ln/>
        </c:spPr>
        <c:crossAx val="252648064"/>
        <c:crosses val="autoZero"/>
        <c:auto val="1"/>
        <c:lblAlgn val="ctr"/>
        <c:lblOffset val="100"/>
        <c:noMultiLvlLbl val="0"/>
      </c:catAx>
      <c:valAx>
        <c:axId val="252648064"/>
        <c:scaling>
          <c:orientation val="minMax"/>
        </c:scaling>
        <c:delete val="0"/>
        <c:axPos val="l"/>
        <c:majorGridlines/>
        <c:title>
          <c:tx>
            <c:rich>
              <a:bodyPr/>
              <a:lstStyle/>
              <a:p>
                <a:pPr>
                  <a:defRPr/>
                </a:pPr>
                <a:r>
                  <a:rPr lang="en-ZA"/>
                  <a:t>Cumulative % change</a:t>
                </a:r>
              </a:p>
            </c:rich>
          </c:tx>
          <c:overlay val="0"/>
        </c:title>
        <c:numFmt formatCode="General" sourceLinked="1"/>
        <c:majorTickMark val="none"/>
        <c:minorTickMark val="none"/>
        <c:tickLblPos val="nextTo"/>
        <c:crossAx val="252646528"/>
        <c:crosses val="autoZero"/>
        <c:crossBetween val="between"/>
      </c:valAx>
    </c:plotArea>
    <c:legend>
      <c:legendPos val="b"/>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'Mac 0X'!$B$123</c:f>
              <c:strCache>
                <c:ptCount val="1"/>
                <c:pt idx="0">
                  <c:v>No recycling with exemptions</c:v>
                </c:pt>
              </c:strCache>
            </c:strRef>
          </c:tx>
          <c:marker>
            <c:symbol val="none"/>
          </c:marker>
          <c:val>
            <c:numRef>
              <c:f>'Mac 0X'!$C$123:$W$123</c:f>
              <c:numCache>
                <c:formatCode>General</c:formatCode>
                <c:ptCount val="21"/>
                <c:pt idx="0">
                  <c:v>0</c:v>
                </c:pt>
                <c:pt idx="1">
                  <c:v>-0.20480000000000001</c:v>
                </c:pt>
                <c:pt idx="2">
                  <c:v>-0.433</c:v>
                </c:pt>
                <c:pt idx="3">
                  <c:v>-0.67659999999999998</c:v>
                </c:pt>
                <c:pt idx="4">
                  <c:v>-0.96489999999999998</c:v>
                </c:pt>
                <c:pt idx="5">
                  <c:v>-1.2838000000000001</c:v>
                </c:pt>
                <c:pt idx="6">
                  <c:v>-1.6237999999999999</c:v>
                </c:pt>
                <c:pt idx="7">
                  <c:v>-1.9827999999999999</c:v>
                </c:pt>
                <c:pt idx="8">
                  <c:v>-2.3548</c:v>
                </c:pt>
                <c:pt idx="9">
                  <c:v>-2.7330000000000001</c:v>
                </c:pt>
                <c:pt idx="10">
                  <c:v>-3.1114000000000002</c:v>
                </c:pt>
                <c:pt idx="11">
                  <c:v>-3.4851000000000001</c:v>
                </c:pt>
                <c:pt idx="12">
                  <c:v>-3.8506999999999998</c:v>
                </c:pt>
                <c:pt idx="13">
                  <c:v>-4.2058</c:v>
                </c:pt>
                <c:pt idx="14">
                  <c:v>-4.5490000000000004</c:v>
                </c:pt>
                <c:pt idx="15">
                  <c:v>-4.8796999999999997</c:v>
                </c:pt>
                <c:pt idx="16">
                  <c:v>-5.1980000000000004</c:v>
                </c:pt>
                <c:pt idx="17">
                  <c:v>-5.5044000000000004</c:v>
                </c:pt>
                <c:pt idx="18">
                  <c:v>-5.7995000000000001</c:v>
                </c:pt>
                <c:pt idx="19">
                  <c:v>-6.0845000000000002</c:v>
                </c:pt>
                <c:pt idx="20">
                  <c:v>-6.3601999999999999</c:v>
                </c:pt>
              </c:numCache>
            </c:numRef>
          </c:val>
          <c:smooth val="0"/>
        </c:ser>
        <c:ser>
          <c:idx val="3"/>
          <c:order val="1"/>
          <c:tx>
            <c:strRef>
              <c:f>'Mac 0Y'!$B$123</c:f>
              <c:strCache>
                <c:ptCount val="1"/>
                <c:pt idx="0">
                  <c:v>No recycling; Exemptions phased out</c:v>
                </c:pt>
              </c:strCache>
            </c:strRef>
          </c:tx>
          <c:marker>
            <c:symbol val="none"/>
          </c:marker>
          <c:val>
            <c:numRef>
              <c:f>'Mac 0Y'!$C$123:$W$123</c:f>
              <c:numCache>
                <c:formatCode>General</c:formatCode>
                <c:ptCount val="21"/>
                <c:pt idx="0">
                  <c:v>0</c:v>
                </c:pt>
                <c:pt idx="1">
                  <c:v>-0.20480000000000001</c:v>
                </c:pt>
                <c:pt idx="2">
                  <c:v>-0.433</c:v>
                </c:pt>
                <c:pt idx="3">
                  <c:v>-0.67659999999999998</c:v>
                </c:pt>
                <c:pt idx="4">
                  <c:v>-0.96489999999999998</c:v>
                </c:pt>
                <c:pt idx="5">
                  <c:v>-1.2838000000000001</c:v>
                </c:pt>
                <c:pt idx="6">
                  <c:v>-1.6237999999999999</c:v>
                </c:pt>
                <c:pt idx="7">
                  <c:v>-2.0516999999999999</c:v>
                </c:pt>
                <c:pt idx="8">
                  <c:v>-2.5676999999999999</c:v>
                </c:pt>
                <c:pt idx="9">
                  <c:v>-3.1751</c:v>
                </c:pt>
                <c:pt idx="10">
                  <c:v>-3.8784999999999998</c:v>
                </c:pt>
                <c:pt idx="11">
                  <c:v>-4.6814999999999998</c:v>
                </c:pt>
                <c:pt idx="12">
                  <c:v>-5.5857999999999999</c:v>
                </c:pt>
                <c:pt idx="13">
                  <c:v>-6.5582000000000003</c:v>
                </c:pt>
                <c:pt idx="14">
                  <c:v>-7.5664999999999996</c:v>
                </c:pt>
                <c:pt idx="15">
                  <c:v>-8.5935000000000006</c:v>
                </c:pt>
                <c:pt idx="16">
                  <c:v>-9.6275999999999993</c:v>
                </c:pt>
                <c:pt idx="17">
                  <c:v>-10.658799999999999</c:v>
                </c:pt>
                <c:pt idx="18">
                  <c:v>-11.678900000000001</c:v>
                </c:pt>
                <c:pt idx="19">
                  <c:v>-12.6816</c:v>
                </c:pt>
                <c:pt idx="20">
                  <c:v>-13.662100000000001</c:v>
                </c:pt>
              </c:numCache>
            </c:numRef>
          </c:val>
          <c:smooth val="0"/>
        </c:ser>
        <c:ser>
          <c:idx val="1"/>
          <c:order val="2"/>
          <c:tx>
            <c:strRef>
              <c:f>'Mac 1Y'!$B$123</c:f>
              <c:strCache>
                <c:ptCount val="1"/>
                <c:pt idx="0">
                  <c:v>Recycling through lower VAT rates</c:v>
                </c:pt>
              </c:strCache>
            </c:strRef>
          </c:tx>
          <c:marker>
            <c:symbol val="none"/>
          </c:marker>
          <c:val>
            <c:numRef>
              <c:f>'Mac 1Y'!$C$123:$W$123</c:f>
              <c:numCache>
                <c:formatCode>General</c:formatCode>
                <c:ptCount val="21"/>
                <c:pt idx="0">
                  <c:v>0</c:v>
                </c:pt>
                <c:pt idx="1">
                  <c:v>2.3800000000000002E-2</c:v>
                </c:pt>
                <c:pt idx="2">
                  <c:v>3.3E-3</c:v>
                </c:pt>
                <c:pt idx="3">
                  <c:v>-2.98E-2</c:v>
                </c:pt>
                <c:pt idx="4">
                  <c:v>-7.0400000000000004E-2</c:v>
                </c:pt>
                <c:pt idx="5">
                  <c:v>-0.12659999999999999</c:v>
                </c:pt>
                <c:pt idx="6">
                  <c:v>-0.20230000000000001</c:v>
                </c:pt>
                <c:pt idx="7">
                  <c:v>-0.29849999999999999</c:v>
                </c:pt>
                <c:pt idx="8">
                  <c:v>-0.4234</c:v>
                </c:pt>
                <c:pt idx="9">
                  <c:v>-0.58320000000000005</c:v>
                </c:pt>
                <c:pt idx="10">
                  <c:v>-0.7833</c:v>
                </c:pt>
                <c:pt idx="11">
                  <c:v>-1.0287999999999999</c:v>
                </c:pt>
                <c:pt idx="12">
                  <c:v>-1.3240000000000001</c:v>
                </c:pt>
                <c:pt idx="13">
                  <c:v>-1.6636</c:v>
                </c:pt>
                <c:pt idx="14">
                  <c:v>-2.0436000000000001</c:v>
                </c:pt>
                <c:pt idx="15">
                  <c:v>-2.4605000000000001</c:v>
                </c:pt>
                <c:pt idx="16">
                  <c:v>-2.9106000000000001</c:v>
                </c:pt>
                <c:pt idx="17">
                  <c:v>-3.3904999999999998</c:v>
                </c:pt>
                <c:pt idx="18">
                  <c:v>-3.8971</c:v>
                </c:pt>
                <c:pt idx="19">
                  <c:v>-4.4275000000000002</c:v>
                </c:pt>
                <c:pt idx="20">
                  <c:v>-4.9793000000000003</c:v>
                </c:pt>
              </c:numCache>
            </c:numRef>
          </c:val>
          <c:smooth val="0"/>
        </c:ser>
        <c:dLbls>
          <c:showLegendKey val="0"/>
          <c:showVal val="0"/>
          <c:showCatName val="0"/>
          <c:showSerName val="0"/>
          <c:showPercent val="0"/>
          <c:showBubbleSize val="0"/>
        </c:dLbls>
        <c:marker val="1"/>
        <c:smooth val="0"/>
        <c:axId val="252674048"/>
        <c:axId val="252675584"/>
      </c:lineChart>
      <c:catAx>
        <c:axId val="252674048"/>
        <c:scaling>
          <c:orientation val="minMax"/>
        </c:scaling>
        <c:delete val="0"/>
        <c:axPos val="b"/>
        <c:majorTickMark val="out"/>
        <c:minorTickMark val="none"/>
        <c:tickLblPos val="nextTo"/>
        <c:crossAx val="252675584"/>
        <c:crosses val="autoZero"/>
        <c:auto val="1"/>
        <c:lblAlgn val="ctr"/>
        <c:lblOffset val="100"/>
        <c:noMultiLvlLbl val="0"/>
      </c:catAx>
      <c:valAx>
        <c:axId val="252675584"/>
        <c:scaling>
          <c:orientation val="minMax"/>
        </c:scaling>
        <c:delete val="0"/>
        <c:axPos val="l"/>
        <c:majorGridlines/>
        <c:title>
          <c:tx>
            <c:rich>
              <a:bodyPr rot="-5400000" vert="horz"/>
              <a:lstStyle/>
              <a:p>
                <a:pPr>
                  <a:defRPr/>
                </a:pPr>
                <a:r>
                  <a:rPr lang="en-US"/>
                  <a:t>Cumulative % change</a:t>
                </a:r>
              </a:p>
            </c:rich>
          </c:tx>
          <c:overlay val="0"/>
        </c:title>
        <c:numFmt formatCode="General" sourceLinked="1"/>
        <c:majorTickMark val="out"/>
        <c:minorTickMark val="none"/>
        <c:tickLblPos val="nextTo"/>
        <c:crossAx val="25267404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'Mac 0Y'!$B$136</c:f>
              <c:strCache>
                <c:ptCount val="1"/>
                <c:pt idx="0">
                  <c:v>No recycling; Exemptions phased out</c:v>
                </c:pt>
              </c:strCache>
            </c:strRef>
          </c:tx>
          <c:marker>
            <c:symbol val="none"/>
          </c:marker>
          <c:val>
            <c:numRef>
              <c:f>'Mac 0Y'!$C$136:$W$136</c:f>
              <c:numCache>
                <c:formatCode>General</c:formatCode>
                <c:ptCount val="21"/>
                <c:pt idx="0">
                  <c:v>0</c:v>
                </c:pt>
                <c:pt idx="1">
                  <c:v>-0.9929</c:v>
                </c:pt>
                <c:pt idx="2">
                  <c:v>-2.2572000000000001</c:v>
                </c:pt>
                <c:pt idx="3">
                  <c:v>-3.7132999999999998</c:v>
                </c:pt>
                <c:pt idx="4">
                  <c:v>-5.5827</c:v>
                </c:pt>
                <c:pt idx="5">
                  <c:v>-7.5266999999999999</c:v>
                </c:pt>
                <c:pt idx="6">
                  <c:v>-9.4761000000000006</c:v>
                </c:pt>
                <c:pt idx="7">
                  <c:v>-11.624499999999999</c:v>
                </c:pt>
                <c:pt idx="8">
                  <c:v>-13.975300000000001</c:v>
                </c:pt>
                <c:pt idx="9">
                  <c:v>-16.5152</c:v>
                </c:pt>
                <c:pt idx="10">
                  <c:v>-19.229299999999999</c:v>
                </c:pt>
                <c:pt idx="11">
                  <c:v>-22.104600000000001</c:v>
                </c:pt>
                <c:pt idx="12">
                  <c:v>-25.1297</c:v>
                </c:pt>
                <c:pt idx="13">
                  <c:v>-28.236899999999999</c:v>
                </c:pt>
                <c:pt idx="14">
                  <c:v>-31.3749</c:v>
                </c:pt>
                <c:pt idx="15">
                  <c:v>-34.5182</c:v>
                </c:pt>
                <c:pt idx="16">
                  <c:v>-37.658999999999999</c:v>
                </c:pt>
                <c:pt idx="17">
                  <c:v>-40.792000000000002</c:v>
                </c:pt>
                <c:pt idx="18">
                  <c:v>-43.913699999999999</c:v>
                </c:pt>
                <c:pt idx="19">
                  <c:v>-47.0214</c:v>
                </c:pt>
                <c:pt idx="20">
                  <c:v>-50.112699999999997</c:v>
                </c:pt>
              </c:numCache>
            </c:numRef>
          </c:val>
          <c:smooth val="0"/>
        </c:ser>
        <c:ser>
          <c:idx val="2"/>
          <c:order val="1"/>
          <c:tx>
            <c:strRef>
              <c:f>'Mac 1Y'!$B$136</c:f>
              <c:strCache>
                <c:ptCount val="1"/>
                <c:pt idx="0">
                  <c:v>Recycling through lower VAT rates</c:v>
                </c:pt>
              </c:strCache>
            </c:strRef>
          </c:tx>
          <c:marker>
            <c:symbol val="none"/>
          </c:marker>
          <c:val>
            <c:numRef>
              <c:f>'Mac 1Y'!$C$136:$W$136</c:f>
              <c:numCache>
                <c:formatCode>General</c:formatCode>
                <c:ptCount val="21"/>
                <c:pt idx="0">
                  <c:v>0</c:v>
                </c:pt>
                <c:pt idx="1">
                  <c:v>-0.79720000000000002</c:v>
                </c:pt>
                <c:pt idx="2">
                  <c:v>-1.8230999999999999</c:v>
                </c:pt>
                <c:pt idx="3">
                  <c:v>-3.0287999999999999</c:v>
                </c:pt>
                <c:pt idx="4">
                  <c:v>-4.5827</c:v>
                </c:pt>
                <c:pt idx="5">
                  <c:v>-6.2127999999999997</c:v>
                </c:pt>
                <c:pt idx="6">
                  <c:v>-7.8429000000000002</c:v>
                </c:pt>
                <c:pt idx="7">
                  <c:v>-9.6021999999999998</c:v>
                </c:pt>
                <c:pt idx="8">
                  <c:v>-11.5008</c:v>
                </c:pt>
                <c:pt idx="9">
                  <c:v>-13.529</c:v>
                </c:pt>
                <c:pt idx="10">
                  <c:v>-15.674899999999999</c:v>
                </c:pt>
                <c:pt idx="11">
                  <c:v>-17.929099999999998</c:v>
                </c:pt>
                <c:pt idx="12">
                  <c:v>-20.285599999999999</c:v>
                </c:pt>
                <c:pt idx="13">
                  <c:v>-22.703399999999998</c:v>
                </c:pt>
                <c:pt idx="14">
                  <c:v>-25.164899999999999</c:v>
                </c:pt>
                <c:pt idx="15">
                  <c:v>-27.660299999999999</c:v>
                </c:pt>
                <c:pt idx="16">
                  <c:v>-30.191800000000001</c:v>
                </c:pt>
                <c:pt idx="17">
                  <c:v>-32.762</c:v>
                </c:pt>
                <c:pt idx="18">
                  <c:v>-35.373800000000003</c:v>
                </c:pt>
                <c:pt idx="19">
                  <c:v>-38.029800000000002</c:v>
                </c:pt>
                <c:pt idx="20">
                  <c:v>-40.732100000000003</c:v>
                </c:pt>
              </c:numCache>
            </c:numRef>
          </c:val>
          <c:smooth val="0"/>
        </c:ser>
        <c:ser>
          <c:idx val="3"/>
          <c:order val="2"/>
          <c:tx>
            <c:strRef>
              <c:f>'Mac 2Y'!$B$136</c:f>
              <c:strCache>
                <c:ptCount val="1"/>
                <c:pt idx="0">
                  <c:v>Recycling through subsidy on Green Gen</c:v>
                </c:pt>
              </c:strCache>
            </c:strRef>
          </c:tx>
          <c:marker>
            <c:symbol val="none"/>
          </c:marker>
          <c:val>
            <c:numRef>
              <c:f>'Mac 2Y'!$C$136:$W$136</c:f>
              <c:numCache>
                <c:formatCode>General</c:formatCode>
                <c:ptCount val="21"/>
                <c:pt idx="0">
                  <c:v>0</c:v>
                </c:pt>
                <c:pt idx="1">
                  <c:v>-1.4932000000000001</c:v>
                </c:pt>
                <c:pt idx="2">
                  <c:v>-3.0897000000000001</c:v>
                </c:pt>
                <c:pt idx="3">
                  <c:v>-4.8066000000000004</c:v>
                </c:pt>
                <c:pt idx="4">
                  <c:v>-6.9333</c:v>
                </c:pt>
                <c:pt idx="5">
                  <c:v>-9.0775000000000006</c:v>
                </c:pt>
                <c:pt idx="6">
                  <c:v>-11.1776</c:v>
                </c:pt>
                <c:pt idx="7">
                  <c:v>-13.4657</c:v>
                </c:pt>
                <c:pt idx="8">
                  <c:v>-15.9337</c:v>
                </c:pt>
                <c:pt idx="9">
                  <c:v>-18.561800000000002</c:v>
                </c:pt>
                <c:pt idx="10">
                  <c:v>-21.333100000000002</c:v>
                </c:pt>
                <c:pt idx="11">
                  <c:v>-24.235600000000002</c:v>
                </c:pt>
                <c:pt idx="12">
                  <c:v>-27.261700000000001</c:v>
                </c:pt>
                <c:pt idx="13">
                  <c:v>-30.355599999999999</c:v>
                </c:pt>
                <c:pt idx="14">
                  <c:v>-33.476300000000002</c:v>
                </c:pt>
                <c:pt idx="15">
                  <c:v>-36.61</c:v>
                </c:pt>
                <c:pt idx="16">
                  <c:v>-39.758200000000002</c:v>
                </c:pt>
                <c:pt idx="17">
                  <c:v>-42.9223</c:v>
                </c:pt>
                <c:pt idx="18">
                  <c:v>-46.102600000000002</c:v>
                </c:pt>
                <c:pt idx="19">
                  <c:v>-49.298000000000002</c:v>
                </c:pt>
                <c:pt idx="20">
                  <c:v>-52.504399999999997</c:v>
                </c:pt>
              </c:numCache>
            </c:numRef>
          </c:val>
          <c:smooth val="0"/>
        </c:ser>
        <c:dLbls>
          <c:showLegendKey val="0"/>
          <c:showVal val="0"/>
          <c:showCatName val="0"/>
          <c:showSerName val="0"/>
          <c:showPercent val="0"/>
          <c:showBubbleSize val="0"/>
        </c:dLbls>
        <c:marker val="1"/>
        <c:smooth val="0"/>
        <c:axId val="332663808"/>
        <c:axId val="332681984"/>
      </c:lineChart>
      <c:catAx>
        <c:axId val="332663808"/>
        <c:scaling>
          <c:orientation val="minMax"/>
        </c:scaling>
        <c:delete val="0"/>
        <c:axPos val="b"/>
        <c:majorTickMark val="out"/>
        <c:minorTickMark val="none"/>
        <c:tickLblPos val="nextTo"/>
        <c:crossAx val="332681984"/>
        <c:crosses val="autoZero"/>
        <c:auto val="1"/>
        <c:lblAlgn val="ctr"/>
        <c:lblOffset val="100"/>
        <c:noMultiLvlLbl val="0"/>
      </c:catAx>
      <c:valAx>
        <c:axId val="332681984"/>
        <c:scaling>
          <c:orientation val="minMax"/>
        </c:scaling>
        <c:delete val="0"/>
        <c:axPos val="l"/>
        <c:majorGridlines/>
        <c:title>
          <c:tx>
            <c:rich>
              <a:bodyPr rot="-5400000" vert="horz"/>
              <a:lstStyle/>
              <a:p>
                <a:pPr>
                  <a:defRPr/>
                </a:pPr>
                <a:r>
                  <a:rPr lang="en-US"/>
                  <a:t>Cumulative % change</a:t>
                </a:r>
              </a:p>
            </c:rich>
          </c:tx>
          <c:overlay val="0"/>
        </c:title>
        <c:numFmt formatCode="General" sourceLinked="1"/>
        <c:majorTickMark val="out"/>
        <c:minorTickMark val="none"/>
        <c:tickLblPos val="nextTo"/>
        <c:crossAx val="332663808"/>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'Ind 0X'!$A$35</c:f>
              <c:strCache>
                <c:ptCount val="1"/>
                <c:pt idx="0">
                  <c:v>No recycling</c:v>
                </c:pt>
              </c:strCache>
            </c:strRef>
          </c:tx>
          <c:marker>
            <c:symbol val="none"/>
          </c:marker>
          <c:val>
            <c:numRef>
              <c:f>'Ind 0X'!$B$35:$V$35</c:f>
              <c:numCache>
                <c:formatCode>General</c:formatCode>
                <c:ptCount val="21"/>
                <c:pt idx="0">
                  <c:v>0</c:v>
                </c:pt>
                <c:pt idx="1">
                  <c:v>0.4229</c:v>
                </c:pt>
                <c:pt idx="2">
                  <c:v>2.2404999999999999</c:v>
                </c:pt>
                <c:pt idx="3">
                  <c:v>5.6497000000000002</c:v>
                </c:pt>
                <c:pt idx="4">
                  <c:v>10.747199999999999</c:v>
                </c:pt>
                <c:pt idx="5">
                  <c:v>17.4176</c:v>
                </c:pt>
                <c:pt idx="6">
                  <c:v>25.907800000000002</c:v>
                </c:pt>
                <c:pt idx="7">
                  <c:v>35.912500000000001</c:v>
                </c:pt>
                <c:pt idx="8">
                  <c:v>47.322099999999999</c:v>
                </c:pt>
                <c:pt idx="9">
                  <c:v>60.0535</c:v>
                </c:pt>
                <c:pt idx="10">
                  <c:v>74.064999999999998</c:v>
                </c:pt>
                <c:pt idx="11">
                  <c:v>89.347899999999996</c:v>
                </c:pt>
                <c:pt idx="12">
                  <c:v>105.9191</c:v>
                </c:pt>
                <c:pt idx="13">
                  <c:v>123.8146</c:v>
                </c:pt>
                <c:pt idx="14">
                  <c:v>143.0849</c:v>
                </c:pt>
                <c:pt idx="15">
                  <c:v>163.79050000000001</c:v>
                </c:pt>
                <c:pt idx="16">
                  <c:v>186.00020000000001</c:v>
                </c:pt>
                <c:pt idx="17">
                  <c:v>209.7885</c:v>
                </c:pt>
                <c:pt idx="18">
                  <c:v>235.2347</c:v>
                </c:pt>
                <c:pt idx="19">
                  <c:v>262.42129999999997</c:v>
                </c:pt>
                <c:pt idx="20">
                  <c:v>291.4341</c:v>
                </c:pt>
              </c:numCache>
            </c:numRef>
          </c:val>
          <c:smooth val="0"/>
        </c:ser>
        <c:ser>
          <c:idx val="3"/>
          <c:order val="1"/>
          <c:tx>
            <c:strRef>
              <c:f>'Ind 2Y'!$A$35</c:f>
              <c:strCache>
                <c:ptCount val="1"/>
                <c:pt idx="0">
                  <c:v>Subsidy on Green Gen</c:v>
                </c:pt>
              </c:strCache>
            </c:strRef>
          </c:tx>
          <c:marker>
            <c:symbol val="none"/>
          </c:marker>
          <c:val>
            <c:numRef>
              <c:f>'Ind 2Y'!$B$35:$V$35</c:f>
              <c:numCache>
                <c:formatCode>General</c:formatCode>
                <c:ptCount val="21"/>
                <c:pt idx="0">
                  <c:v>0</c:v>
                </c:pt>
                <c:pt idx="1">
                  <c:v>1.254</c:v>
                </c:pt>
                <c:pt idx="2">
                  <c:v>7.4759000000000002</c:v>
                </c:pt>
                <c:pt idx="3">
                  <c:v>15.336600000000001</c:v>
                </c:pt>
                <c:pt idx="4">
                  <c:v>24.743400000000001</c:v>
                </c:pt>
                <c:pt idx="5">
                  <c:v>35.337400000000002</c:v>
                </c:pt>
                <c:pt idx="6">
                  <c:v>47.508600000000001</c:v>
                </c:pt>
                <c:pt idx="7">
                  <c:v>61.0291</c:v>
                </c:pt>
                <c:pt idx="8">
                  <c:v>75.923000000000002</c:v>
                </c:pt>
                <c:pt idx="9">
                  <c:v>92.1845</c:v>
                </c:pt>
                <c:pt idx="10">
                  <c:v>109.82089999999999</c:v>
                </c:pt>
                <c:pt idx="11">
                  <c:v>128.8629</c:v>
                </c:pt>
                <c:pt idx="12">
                  <c:v>149.36429999999999</c:v>
                </c:pt>
                <c:pt idx="13">
                  <c:v>171.39</c:v>
                </c:pt>
                <c:pt idx="14">
                  <c:v>195.02430000000001</c:v>
                </c:pt>
                <c:pt idx="15">
                  <c:v>220.35849999999999</c:v>
                </c:pt>
                <c:pt idx="16">
                  <c:v>247.48750000000001</c:v>
                </c:pt>
                <c:pt idx="17">
                  <c:v>276.50959999999998</c:v>
                </c:pt>
                <c:pt idx="18">
                  <c:v>307.52550000000002</c:v>
                </c:pt>
                <c:pt idx="19">
                  <c:v>340.63819999999998</c:v>
                </c:pt>
                <c:pt idx="20">
                  <c:v>375.952</c:v>
                </c:pt>
              </c:numCache>
            </c:numRef>
          </c:val>
          <c:smooth val="0"/>
        </c:ser>
        <c:dLbls>
          <c:showLegendKey val="0"/>
          <c:showVal val="0"/>
          <c:showCatName val="0"/>
          <c:showSerName val="0"/>
          <c:showPercent val="0"/>
          <c:showBubbleSize val="0"/>
        </c:dLbls>
        <c:marker val="1"/>
        <c:smooth val="0"/>
        <c:axId val="332715520"/>
        <c:axId val="332717056"/>
      </c:lineChart>
      <c:catAx>
        <c:axId val="332715520"/>
        <c:scaling>
          <c:orientation val="minMax"/>
        </c:scaling>
        <c:delete val="0"/>
        <c:axPos val="b"/>
        <c:majorTickMark val="out"/>
        <c:minorTickMark val="none"/>
        <c:tickLblPos val="nextTo"/>
        <c:crossAx val="332717056"/>
        <c:crosses val="autoZero"/>
        <c:auto val="1"/>
        <c:lblAlgn val="ctr"/>
        <c:lblOffset val="100"/>
        <c:noMultiLvlLbl val="0"/>
      </c:catAx>
      <c:valAx>
        <c:axId val="332717056"/>
        <c:scaling>
          <c:orientation val="minMax"/>
        </c:scaling>
        <c:delete val="0"/>
        <c:axPos val="l"/>
        <c:majorGridlines/>
        <c:title>
          <c:tx>
            <c:rich>
              <a:bodyPr rot="-5400000" vert="horz"/>
              <a:lstStyle/>
              <a:p>
                <a:pPr>
                  <a:defRPr/>
                </a:pPr>
                <a:r>
                  <a:rPr lang="en-US"/>
                  <a:t>Cumulative % change</a:t>
                </a:r>
              </a:p>
            </c:rich>
          </c:tx>
          <c:overlay val="0"/>
        </c:title>
        <c:numFmt formatCode="General" sourceLinked="1"/>
        <c:majorTickMark val="out"/>
        <c:minorTickMark val="none"/>
        <c:tickLblPos val="nextTo"/>
        <c:crossAx val="33271552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E61C-F97F-4998-B011-6BF0DCA3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8506</Words>
  <Characters>48487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56880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dc:creator>
  <cp:lastModifiedBy>ATI</cp:lastModifiedBy>
  <cp:revision>4</cp:revision>
  <cp:lastPrinted>2016-09-13T07:22:00Z</cp:lastPrinted>
  <dcterms:created xsi:type="dcterms:W3CDTF">2016-09-13T09:14:00Z</dcterms:created>
  <dcterms:modified xsi:type="dcterms:W3CDTF">2016-09-13T09:39:00Z</dcterms:modified>
</cp:coreProperties>
</file>