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BIS is introduced on page 1, but first defined on page 2 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FIXED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Bottom of page 2, the paragraph makes no sense as the field for the various sections does not update 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FIXED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7 lines up from bottom of page 3: "a bank’s capital requirements was" 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FIXED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Sometimes "Accord" sometimes "accord". Either is acceptable, but there should be some consistency 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FIXED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Middle of page 4: "Since 1992, when the BIS published a paper called A Framework for Measuring and Managing Liquidity. The BIS focussed" – makes no sense, there should be a comma somewhere 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FIXED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Sometimes numbers &gt; 10 are written as text (e.g. "fourteen") and sometimes as the number ("14"). Numbers &gt; 10 should be numeric, numbers &lt; 10 should be text. These inconsistencies occur throughout the paper – e.g. middle page 6: "eleven" and "11" appear within the same sentence 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FIXED – all changed to numbers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First paragraph page 5, "This paper was based on work done by a Special Committee that" – why is special committee in capitals? 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FIXED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Middle of page 5: "IMF" not defined 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FIXED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Middle of page 5: "after the liquidity crunch experienced by Northern Rock in September (BIS, 2007a:1)". What is this liquidity crunch? No liquidity crunch has been defined. And will readers outside the UK know exactly what Northern Rock is? I think it needs to be clearly stated that this is a large building society in the UK which specialised in residential mortgages, etc.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 FIXED – reference made that it was a large building society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Bottom page 5: "data…was applied". "Data" is plural – this should be "data…were applied" 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FIXED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Use of footnote symbols is incorrect. Footnote symbols appear AFTER punctuation, so "the data.3" NOT "the data3." 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FIXED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The results section from page 8 onwards does not sport a single graph. There are many many numbers, but no graphical output of these. I am aware this would be a mere summary of the results obtained, but I believe would significantly enhance the readability of the paper. 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FIXED – Graphs and tables added on pages 9 and 10.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Page 10: the Saambou crisis is referred to without even a sentence of explanation of what it was 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FIXED – Endnote 11 explains this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Page 11: the authors claim that "Although major structural changes have taken place in the South African banking system since the crises in 2001/02" but do not state what these are (and they are important to the paper)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 FIXED – Brief explanation given on page 11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Page 13 – mention is made of the South African Banks Act (and the fact that it will have to be amended to include liquid instruments) but no background is given: what does the SA Banks Act have to do with this? Will a reader outside of South Africa know what the relevance is?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 FIXED – Endnote 13 added to briefly explain this</w:t>
      </w:r>
    </w:p>
    <w:p>
      <w:pPr>
        <w:numPr>
          <w:ilvl w:val="0"/>
          <w:numId w:val="1"/>
        </w:numPr>
        <w:tabs>
          <w:tab w:val="left" w:pos="720" w:leader="none"/>
        </w:tabs>
        <w:spacing w:before="0" w:after="120" w:line="240"/>
        <w:ind w:right="0" w:left="360" w:hanging="36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Footnote i, page 17 – "BA" is not defined.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4"/>
          <w:shd w:fill="auto" w:val="clear"/>
        </w:rPr>
        <w:t xml:space="preserve"> FIXED – Endnote 4 added to briefly explain this</w:t>
      </w:r>
    </w:p>
    <w:p>
      <w:pPr>
        <w:spacing w:before="0" w:after="120" w:line="32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