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AF" w:rsidRPr="003B29A4" w:rsidRDefault="00086EAF" w:rsidP="00CD78EE">
      <w:pPr>
        <w:spacing w:after="0" w:line="240" w:lineRule="auto"/>
        <w:ind w:left="7938"/>
        <w:jc w:val="both"/>
        <w:rPr>
          <w:rFonts w:asciiTheme="minorHAnsi" w:hAnsiTheme="minorHAnsi" w:cstheme="minorHAnsi"/>
          <w:bCs/>
        </w:rPr>
      </w:pPr>
      <w:r w:rsidRPr="003B29A4">
        <w:rPr>
          <w:rFonts w:asciiTheme="minorHAnsi" w:hAnsiTheme="minorHAnsi" w:cstheme="minorHAnsi"/>
          <w:bCs/>
        </w:rPr>
        <w:t xml:space="preserve">78 Royal </w:t>
      </w:r>
      <w:proofErr w:type="gramStart"/>
      <w:r w:rsidRPr="003B29A4">
        <w:rPr>
          <w:rFonts w:asciiTheme="minorHAnsi" w:hAnsiTheme="minorHAnsi" w:cstheme="minorHAnsi"/>
          <w:bCs/>
        </w:rPr>
        <w:t>Gallery</w:t>
      </w:r>
      <w:proofErr w:type="gramEnd"/>
    </w:p>
    <w:p w:rsidR="00086EAF" w:rsidRPr="003B29A4" w:rsidRDefault="00086EAF" w:rsidP="00CD78EE">
      <w:pPr>
        <w:spacing w:after="0" w:line="240" w:lineRule="auto"/>
        <w:ind w:left="7938"/>
        <w:jc w:val="both"/>
        <w:rPr>
          <w:rFonts w:asciiTheme="minorHAnsi" w:hAnsiTheme="minorHAnsi" w:cstheme="minorHAnsi"/>
          <w:bCs/>
        </w:rPr>
      </w:pPr>
      <w:r w:rsidRPr="003B29A4">
        <w:rPr>
          <w:rFonts w:asciiTheme="minorHAnsi" w:hAnsiTheme="minorHAnsi" w:cstheme="minorHAnsi"/>
          <w:bCs/>
        </w:rPr>
        <w:t>12 Skerne Road</w:t>
      </w:r>
    </w:p>
    <w:p w:rsidR="001F6A6A" w:rsidRDefault="00086EAF" w:rsidP="00CD78EE">
      <w:pPr>
        <w:spacing w:after="0" w:line="240" w:lineRule="auto"/>
        <w:ind w:left="7938"/>
        <w:jc w:val="both"/>
        <w:rPr>
          <w:rFonts w:asciiTheme="minorHAnsi" w:hAnsiTheme="minorHAnsi" w:cstheme="minorHAnsi"/>
        </w:rPr>
      </w:pPr>
      <w:r w:rsidRPr="003B29A4">
        <w:rPr>
          <w:rFonts w:asciiTheme="minorHAnsi" w:hAnsiTheme="minorHAnsi" w:cstheme="minorHAnsi"/>
          <w:bCs/>
        </w:rPr>
        <w:t>Kingston</w:t>
      </w:r>
      <w:r w:rsidR="001F6A6A">
        <w:rPr>
          <w:rFonts w:asciiTheme="minorHAnsi" w:hAnsiTheme="minorHAnsi" w:cstheme="minorHAnsi"/>
          <w:bCs/>
        </w:rPr>
        <w:t xml:space="preserve"> </w:t>
      </w:r>
      <w:r w:rsidR="004367F4">
        <w:rPr>
          <w:rFonts w:asciiTheme="minorHAnsi" w:hAnsiTheme="minorHAnsi" w:cstheme="minorHAnsi"/>
          <w:bCs/>
        </w:rPr>
        <w:t xml:space="preserve">    </w:t>
      </w:r>
      <w:r w:rsidRPr="003B29A4">
        <w:rPr>
          <w:rFonts w:asciiTheme="minorHAnsi" w:hAnsiTheme="minorHAnsi" w:cstheme="minorHAnsi"/>
        </w:rPr>
        <w:t>KT2</w:t>
      </w:r>
      <w:r w:rsidR="001F6A6A">
        <w:rPr>
          <w:rFonts w:asciiTheme="minorHAnsi" w:hAnsiTheme="minorHAnsi" w:cstheme="minorHAnsi"/>
        </w:rPr>
        <w:t xml:space="preserve"> </w:t>
      </w:r>
      <w:r w:rsidRPr="003B29A4">
        <w:rPr>
          <w:rFonts w:asciiTheme="minorHAnsi" w:hAnsiTheme="minorHAnsi" w:cstheme="minorHAnsi"/>
        </w:rPr>
        <w:t>5AD</w:t>
      </w:r>
    </w:p>
    <w:p w:rsidR="00086EAF" w:rsidRPr="003B29A4" w:rsidRDefault="001F6A6A" w:rsidP="00CD78EE">
      <w:pPr>
        <w:spacing w:after="0" w:line="240" w:lineRule="auto"/>
        <w:ind w:left="7938"/>
        <w:jc w:val="both"/>
        <w:rPr>
          <w:rFonts w:asciiTheme="minorHAnsi" w:hAnsiTheme="minorHAnsi" w:cstheme="minorHAnsi"/>
        </w:rPr>
      </w:pPr>
      <w:r>
        <w:rPr>
          <w:rFonts w:asciiTheme="minorHAnsi" w:hAnsiTheme="minorHAnsi" w:cstheme="minorHAnsi"/>
        </w:rPr>
        <w:t>UK</w:t>
      </w:r>
    </w:p>
    <w:p w:rsidR="00086EAF" w:rsidRPr="003B29A4" w:rsidRDefault="00086EAF" w:rsidP="00CD78EE">
      <w:pPr>
        <w:spacing w:after="120" w:line="240" w:lineRule="auto"/>
        <w:ind w:left="7938"/>
        <w:jc w:val="both"/>
        <w:rPr>
          <w:rFonts w:asciiTheme="minorHAnsi" w:hAnsiTheme="minorHAnsi" w:cstheme="minorHAnsi"/>
        </w:rPr>
      </w:pPr>
      <w:r w:rsidRPr="003B29A4">
        <w:rPr>
          <w:rFonts w:asciiTheme="minorHAnsi" w:hAnsiTheme="minorHAnsi" w:cstheme="minorHAnsi"/>
        </w:rPr>
        <w:t>2</w:t>
      </w:r>
      <w:r w:rsidR="00410AF8">
        <w:rPr>
          <w:rFonts w:asciiTheme="minorHAnsi" w:hAnsiTheme="minorHAnsi" w:cstheme="minorHAnsi"/>
        </w:rPr>
        <w:t>2</w:t>
      </w:r>
      <w:r w:rsidRPr="003B29A4">
        <w:rPr>
          <w:rFonts w:asciiTheme="minorHAnsi" w:hAnsiTheme="minorHAnsi" w:cstheme="minorHAnsi"/>
        </w:rPr>
        <w:t xml:space="preserve"> April 2012</w:t>
      </w:r>
    </w:p>
    <w:p w:rsidR="00086EAF" w:rsidRPr="003B29A4" w:rsidRDefault="00086EAF" w:rsidP="00086EAF">
      <w:pPr>
        <w:spacing w:after="0" w:line="240" w:lineRule="auto"/>
        <w:jc w:val="both"/>
        <w:rPr>
          <w:rFonts w:asciiTheme="minorHAnsi" w:hAnsiTheme="minorHAnsi" w:cstheme="minorHAnsi"/>
          <w:bCs/>
        </w:rPr>
      </w:pPr>
      <w:r w:rsidRPr="003B29A4">
        <w:rPr>
          <w:rFonts w:asciiTheme="minorHAnsi" w:hAnsiTheme="minorHAnsi" w:cstheme="minorHAnsi"/>
          <w:bCs/>
        </w:rPr>
        <w:t>SAJEMS</w:t>
      </w:r>
    </w:p>
    <w:p w:rsidR="00086EAF" w:rsidRPr="003B29A4" w:rsidRDefault="00086EAF" w:rsidP="00086EAF">
      <w:pPr>
        <w:spacing w:after="0" w:line="240" w:lineRule="auto"/>
        <w:jc w:val="both"/>
        <w:rPr>
          <w:rFonts w:asciiTheme="minorHAnsi" w:hAnsiTheme="minorHAnsi" w:cstheme="minorHAnsi"/>
          <w:bCs/>
        </w:rPr>
      </w:pPr>
      <w:r w:rsidRPr="003B29A4">
        <w:rPr>
          <w:rFonts w:asciiTheme="minorHAnsi" w:hAnsiTheme="minorHAnsi" w:cstheme="minorHAnsi"/>
          <w:bCs/>
        </w:rPr>
        <w:t>Department of Economics</w:t>
      </w:r>
    </w:p>
    <w:p w:rsidR="00086EAF" w:rsidRPr="003B29A4" w:rsidRDefault="00086EAF" w:rsidP="00086EAF">
      <w:pPr>
        <w:spacing w:after="0" w:line="240" w:lineRule="auto"/>
        <w:jc w:val="both"/>
        <w:rPr>
          <w:rFonts w:asciiTheme="minorHAnsi" w:hAnsiTheme="minorHAnsi" w:cstheme="minorHAnsi"/>
          <w:bCs/>
        </w:rPr>
      </w:pPr>
      <w:r w:rsidRPr="003B29A4">
        <w:rPr>
          <w:rFonts w:asciiTheme="minorHAnsi" w:hAnsiTheme="minorHAnsi" w:cstheme="minorHAnsi"/>
          <w:bCs/>
        </w:rPr>
        <w:t>University of Pretoria</w:t>
      </w:r>
    </w:p>
    <w:p w:rsidR="00086EAF" w:rsidRPr="003B29A4" w:rsidRDefault="00086EAF" w:rsidP="00086EAF">
      <w:pPr>
        <w:spacing w:after="0" w:line="240" w:lineRule="auto"/>
        <w:jc w:val="both"/>
        <w:rPr>
          <w:rFonts w:asciiTheme="minorHAnsi" w:hAnsiTheme="minorHAnsi" w:cstheme="minorHAnsi"/>
          <w:bCs/>
        </w:rPr>
      </w:pPr>
      <w:r w:rsidRPr="003B29A4">
        <w:rPr>
          <w:rFonts w:asciiTheme="minorHAnsi" w:hAnsiTheme="minorHAnsi" w:cstheme="minorHAnsi"/>
          <w:bCs/>
        </w:rPr>
        <w:t>PRETORIA</w:t>
      </w:r>
      <w:r w:rsidRPr="003B29A4">
        <w:rPr>
          <w:rFonts w:asciiTheme="minorHAnsi" w:hAnsiTheme="minorHAnsi" w:cstheme="minorHAnsi"/>
          <w:bCs/>
        </w:rPr>
        <w:tab/>
        <w:t>0002</w:t>
      </w:r>
    </w:p>
    <w:p w:rsidR="00086EAF" w:rsidRPr="003B29A4" w:rsidRDefault="00086EAF" w:rsidP="00086EAF">
      <w:pPr>
        <w:spacing w:after="0" w:line="240" w:lineRule="auto"/>
        <w:jc w:val="both"/>
        <w:rPr>
          <w:rFonts w:asciiTheme="minorHAnsi" w:hAnsiTheme="minorHAnsi" w:cstheme="minorHAnsi"/>
          <w:bCs/>
        </w:rPr>
      </w:pPr>
      <w:r w:rsidRPr="003B29A4">
        <w:rPr>
          <w:rFonts w:asciiTheme="minorHAnsi" w:hAnsiTheme="minorHAnsi" w:cstheme="minorHAnsi"/>
          <w:bCs/>
        </w:rPr>
        <w:t>South Africa</w:t>
      </w:r>
    </w:p>
    <w:p w:rsidR="00086EAF" w:rsidRPr="003B29A4" w:rsidRDefault="00086EAF" w:rsidP="00086EAF">
      <w:pPr>
        <w:spacing w:after="120" w:line="240" w:lineRule="auto"/>
        <w:jc w:val="both"/>
        <w:rPr>
          <w:rFonts w:asciiTheme="minorHAnsi" w:hAnsiTheme="minorHAnsi" w:cstheme="minorHAnsi"/>
        </w:rPr>
      </w:pPr>
    </w:p>
    <w:p w:rsidR="00086EAF" w:rsidRPr="003B29A4" w:rsidRDefault="00086EAF" w:rsidP="00086EAF">
      <w:pPr>
        <w:spacing w:after="120" w:line="240" w:lineRule="auto"/>
        <w:jc w:val="both"/>
        <w:rPr>
          <w:rFonts w:asciiTheme="minorHAnsi" w:hAnsiTheme="minorHAnsi" w:cstheme="minorHAnsi"/>
        </w:rPr>
      </w:pPr>
      <w:r w:rsidRPr="003B29A4">
        <w:rPr>
          <w:rFonts w:asciiTheme="minorHAnsi" w:hAnsiTheme="minorHAnsi" w:cstheme="minorHAnsi"/>
        </w:rPr>
        <w:t xml:space="preserve">Dear Professor </w:t>
      </w:r>
      <w:proofErr w:type="spellStart"/>
      <w:r w:rsidRPr="003B29A4">
        <w:rPr>
          <w:rFonts w:asciiTheme="minorHAnsi" w:hAnsiTheme="minorHAnsi" w:cstheme="minorHAnsi"/>
        </w:rPr>
        <w:t>Kabundi</w:t>
      </w:r>
      <w:proofErr w:type="spellEnd"/>
    </w:p>
    <w:p w:rsidR="00086EAF" w:rsidRPr="003B29A4" w:rsidRDefault="00086EAF" w:rsidP="00086EAF">
      <w:pPr>
        <w:spacing w:after="120" w:line="240" w:lineRule="auto"/>
        <w:jc w:val="both"/>
        <w:rPr>
          <w:rFonts w:asciiTheme="minorHAnsi" w:hAnsiTheme="minorHAnsi" w:cstheme="minorHAnsi"/>
        </w:rPr>
      </w:pPr>
      <w:r w:rsidRPr="003B29A4">
        <w:rPr>
          <w:rFonts w:asciiTheme="minorHAnsi" w:hAnsiTheme="minorHAnsi" w:cstheme="minorHAnsi"/>
        </w:rPr>
        <w:t xml:space="preserve">Thank you for the email dated </w:t>
      </w:r>
      <w:r w:rsidR="00702354" w:rsidRPr="003B29A4">
        <w:rPr>
          <w:rFonts w:asciiTheme="minorHAnsi" w:hAnsiTheme="minorHAnsi" w:cstheme="minorHAnsi"/>
        </w:rPr>
        <w:t>13 April 2012</w:t>
      </w:r>
      <w:r w:rsidRPr="003B29A4">
        <w:rPr>
          <w:rFonts w:asciiTheme="minorHAnsi" w:hAnsiTheme="minorHAnsi" w:cstheme="minorHAnsi"/>
        </w:rPr>
        <w:t xml:space="preserve">. </w:t>
      </w:r>
    </w:p>
    <w:p w:rsidR="00086EAF" w:rsidRPr="003B29A4" w:rsidRDefault="00702354" w:rsidP="00DA7330">
      <w:pPr>
        <w:spacing w:after="120" w:line="240" w:lineRule="auto"/>
        <w:jc w:val="both"/>
        <w:rPr>
          <w:rFonts w:asciiTheme="minorHAnsi" w:hAnsiTheme="minorHAnsi" w:cstheme="minorHAnsi"/>
        </w:rPr>
      </w:pPr>
      <w:r w:rsidRPr="003B29A4">
        <w:rPr>
          <w:rFonts w:asciiTheme="minorHAnsi" w:hAnsiTheme="minorHAnsi" w:cstheme="minorHAnsi"/>
        </w:rPr>
        <w:t>I</w:t>
      </w:r>
      <w:r w:rsidR="00086EAF" w:rsidRPr="003B29A4">
        <w:rPr>
          <w:rFonts w:asciiTheme="minorHAnsi" w:hAnsiTheme="minorHAnsi" w:cstheme="minorHAnsi"/>
        </w:rPr>
        <w:t xml:space="preserve"> have taken the reviewers’ feedback into account: my responses are detailed below. Reviewer’s comments are in black</w:t>
      </w:r>
      <w:r w:rsidR="00086EAF" w:rsidRPr="003B29A4">
        <w:rPr>
          <w:rFonts w:asciiTheme="minorHAnsi" w:hAnsiTheme="minorHAnsi" w:cstheme="minorHAnsi"/>
          <w:i/>
        </w:rPr>
        <w:t xml:space="preserve"> </w:t>
      </w:r>
      <w:r w:rsidR="00086EAF" w:rsidRPr="003B29A4">
        <w:rPr>
          <w:rFonts w:asciiTheme="minorHAnsi" w:hAnsiTheme="minorHAnsi" w:cstheme="minorHAnsi"/>
        </w:rPr>
        <w:t xml:space="preserve">text, while my responses are in </w:t>
      </w:r>
      <w:r w:rsidR="00086EAF" w:rsidRPr="003B29A4">
        <w:rPr>
          <w:rFonts w:asciiTheme="minorHAnsi" w:hAnsiTheme="minorHAnsi" w:cstheme="minorHAnsi"/>
          <w:color w:val="0000FF"/>
        </w:rPr>
        <w:t>blue</w:t>
      </w:r>
      <w:r w:rsidR="00086EAF" w:rsidRPr="003B29A4">
        <w:rPr>
          <w:rFonts w:asciiTheme="minorHAnsi" w:hAnsiTheme="minorHAnsi" w:cstheme="minorHAnsi"/>
        </w:rPr>
        <w:t>.</w:t>
      </w:r>
    </w:p>
    <w:tbl>
      <w:tblPr>
        <w:tblStyle w:val="TableGrid"/>
        <w:tblW w:w="0" w:type="auto"/>
        <w:tblLook w:val="04A0" w:firstRow="1" w:lastRow="0" w:firstColumn="1" w:lastColumn="0" w:noHBand="0" w:noVBand="1"/>
      </w:tblPr>
      <w:tblGrid>
        <w:gridCol w:w="4507"/>
        <w:gridCol w:w="5455"/>
      </w:tblGrid>
      <w:tr w:rsidR="006D6456" w:rsidRPr="00702354" w:rsidTr="00A21802">
        <w:tc>
          <w:tcPr>
            <w:tcW w:w="0" w:type="auto"/>
            <w:shd w:val="clear" w:color="auto" w:fill="BFBFBF" w:themeFill="background1" w:themeFillShade="BF"/>
            <w:vAlign w:val="center"/>
          </w:tcPr>
          <w:p w:rsidR="006D6456" w:rsidRPr="00702354" w:rsidRDefault="006D6456" w:rsidP="00086EAF">
            <w:pPr>
              <w:spacing w:after="0" w:line="240" w:lineRule="auto"/>
              <w:jc w:val="center"/>
              <w:rPr>
                <w:rFonts w:asciiTheme="minorHAnsi" w:hAnsiTheme="minorHAnsi" w:cstheme="minorHAnsi"/>
                <w:b/>
              </w:rPr>
            </w:pPr>
            <w:r w:rsidRPr="00702354">
              <w:rPr>
                <w:rFonts w:asciiTheme="minorHAnsi" w:hAnsiTheme="minorHAnsi" w:cstheme="minorHAnsi"/>
                <w:b/>
              </w:rPr>
              <w:t>REVIEWER COMMENTS</w:t>
            </w:r>
          </w:p>
        </w:tc>
        <w:tc>
          <w:tcPr>
            <w:tcW w:w="0" w:type="auto"/>
            <w:shd w:val="clear" w:color="auto" w:fill="BFBFBF" w:themeFill="background1" w:themeFillShade="BF"/>
            <w:vAlign w:val="center"/>
          </w:tcPr>
          <w:p w:rsidR="006D6456" w:rsidRPr="00702354" w:rsidRDefault="006D6456" w:rsidP="00086EAF">
            <w:pPr>
              <w:spacing w:after="0" w:line="240" w:lineRule="auto"/>
              <w:jc w:val="center"/>
              <w:rPr>
                <w:rFonts w:asciiTheme="minorHAnsi" w:hAnsiTheme="minorHAnsi" w:cstheme="minorHAnsi"/>
                <w:b/>
              </w:rPr>
            </w:pPr>
            <w:r w:rsidRPr="002622D6">
              <w:rPr>
                <w:rFonts w:asciiTheme="minorHAnsi" w:hAnsiTheme="minorHAnsi" w:cstheme="minorHAnsi"/>
                <w:b/>
                <w:color w:val="0000FF"/>
              </w:rPr>
              <w:t>AUTHOR RESPONSE</w:t>
            </w:r>
          </w:p>
        </w:tc>
      </w:tr>
      <w:tr w:rsidR="006D6456" w:rsidRPr="00702354" w:rsidTr="00A21802">
        <w:tc>
          <w:tcPr>
            <w:tcW w:w="0" w:type="auto"/>
            <w:vAlign w:val="center"/>
          </w:tcPr>
          <w:p w:rsidR="006D6456" w:rsidRPr="00702354" w:rsidRDefault="006D6456" w:rsidP="006F3C6D">
            <w:pPr>
              <w:spacing w:after="0" w:line="240" w:lineRule="auto"/>
              <w:rPr>
                <w:rFonts w:asciiTheme="minorHAnsi" w:hAnsiTheme="minorHAnsi" w:cstheme="minorHAnsi"/>
              </w:rPr>
            </w:pPr>
            <w:r w:rsidRPr="00702354">
              <w:rPr>
                <w:rFonts w:asciiTheme="minorHAnsi" w:hAnsiTheme="minorHAnsi" w:cstheme="minorHAnsi"/>
              </w:rPr>
              <w:t xml:space="preserve">I do not agree with the opening statement that the financial crises originated with the </w:t>
            </w:r>
            <w:r w:rsidR="0094646B">
              <w:rPr>
                <w:rFonts w:asciiTheme="minorHAnsi" w:hAnsiTheme="minorHAnsi" w:cstheme="minorHAnsi"/>
              </w:rPr>
              <w:t xml:space="preserve">2008 </w:t>
            </w:r>
            <w:r w:rsidRPr="00702354">
              <w:rPr>
                <w:rFonts w:asciiTheme="minorHAnsi" w:hAnsiTheme="minorHAnsi" w:cstheme="minorHAnsi"/>
              </w:rPr>
              <w:t xml:space="preserve">collapse of Lehman’s. The bursting of the US housing bubble </w:t>
            </w:r>
            <w:r w:rsidR="00720B68">
              <w:rPr>
                <w:rFonts w:asciiTheme="minorHAnsi" w:hAnsiTheme="minorHAnsi" w:cstheme="minorHAnsi"/>
              </w:rPr>
              <w:t>(</w:t>
            </w:r>
            <w:r w:rsidRPr="00702354">
              <w:rPr>
                <w:rFonts w:asciiTheme="minorHAnsi" w:hAnsiTheme="minorHAnsi" w:cstheme="minorHAnsi"/>
              </w:rPr>
              <w:t>peak</w:t>
            </w:r>
            <w:r w:rsidR="006F3C6D">
              <w:rPr>
                <w:rFonts w:asciiTheme="minorHAnsi" w:hAnsiTheme="minorHAnsi" w:cstheme="minorHAnsi"/>
              </w:rPr>
              <w:t xml:space="preserve">ing </w:t>
            </w:r>
            <w:r w:rsidRPr="00702354">
              <w:rPr>
                <w:rFonts w:asciiTheme="minorHAnsi" w:hAnsiTheme="minorHAnsi" w:cstheme="minorHAnsi"/>
              </w:rPr>
              <w:t>in 2005</w:t>
            </w:r>
            <w:r w:rsidR="0094646B">
              <w:rPr>
                <w:rFonts w:asciiTheme="minorHAnsi" w:hAnsiTheme="minorHAnsi" w:cstheme="minorHAnsi"/>
              </w:rPr>
              <w:t>/</w:t>
            </w:r>
            <w:r w:rsidRPr="00702354">
              <w:rPr>
                <w:rFonts w:asciiTheme="minorHAnsi" w:hAnsiTheme="minorHAnsi" w:cstheme="minorHAnsi"/>
              </w:rPr>
              <w:t>6) and subs</w:t>
            </w:r>
            <w:r w:rsidRPr="00702354">
              <w:rPr>
                <w:rFonts w:asciiTheme="minorHAnsi" w:hAnsiTheme="minorHAnsi" w:cstheme="minorHAnsi"/>
              </w:rPr>
              <w:t>e</w:t>
            </w:r>
            <w:r w:rsidRPr="00702354">
              <w:rPr>
                <w:rFonts w:asciiTheme="minorHAnsi" w:hAnsiTheme="minorHAnsi" w:cstheme="minorHAnsi"/>
              </w:rPr>
              <w:t>quent interest rates hikes followed by housing prices declines in 2006</w:t>
            </w:r>
            <w:r w:rsidR="0094646B">
              <w:rPr>
                <w:rFonts w:asciiTheme="minorHAnsi" w:hAnsiTheme="minorHAnsi" w:cstheme="minorHAnsi"/>
              </w:rPr>
              <w:t>/7</w:t>
            </w:r>
            <w:r w:rsidRPr="00702354">
              <w:rPr>
                <w:rFonts w:asciiTheme="minorHAnsi" w:hAnsiTheme="minorHAnsi" w:cstheme="minorHAnsi"/>
              </w:rPr>
              <w:t xml:space="preserve"> all contributed to the crises. Some economists even blame the dot-com bubble </w:t>
            </w:r>
            <w:r w:rsidR="0094646B">
              <w:rPr>
                <w:rFonts w:asciiTheme="minorHAnsi" w:hAnsiTheme="minorHAnsi" w:cstheme="minorHAnsi"/>
              </w:rPr>
              <w:t xml:space="preserve">burst </w:t>
            </w:r>
            <w:r w:rsidRPr="00702354">
              <w:rPr>
                <w:rFonts w:asciiTheme="minorHAnsi" w:hAnsiTheme="minorHAnsi" w:cstheme="minorHAnsi"/>
              </w:rPr>
              <w:t xml:space="preserve">in 2000 as the </w:t>
            </w:r>
            <w:r w:rsidR="0094646B">
              <w:rPr>
                <w:rFonts w:asciiTheme="minorHAnsi" w:hAnsiTheme="minorHAnsi" w:cstheme="minorHAnsi"/>
              </w:rPr>
              <w:t xml:space="preserve">crisis </w:t>
            </w:r>
            <w:r w:rsidRPr="00702354">
              <w:rPr>
                <w:rFonts w:asciiTheme="minorHAnsi" w:hAnsiTheme="minorHAnsi" w:cstheme="minorHAnsi"/>
              </w:rPr>
              <w:t>origin</w:t>
            </w:r>
          </w:p>
        </w:tc>
        <w:tc>
          <w:tcPr>
            <w:tcW w:w="0" w:type="auto"/>
            <w:shd w:val="clear" w:color="auto" w:fill="DBE5F1" w:themeFill="accent1" w:themeFillTint="33"/>
            <w:vAlign w:val="center"/>
          </w:tcPr>
          <w:p w:rsidR="006D6456" w:rsidRPr="006D6456" w:rsidRDefault="006D6456" w:rsidP="00DA7330">
            <w:pPr>
              <w:spacing w:after="0" w:line="240" w:lineRule="auto"/>
              <w:rPr>
                <w:rFonts w:asciiTheme="minorHAnsi" w:hAnsiTheme="minorHAnsi" w:cstheme="minorHAnsi"/>
                <w:color w:val="0000FF"/>
              </w:rPr>
            </w:pPr>
            <w:r w:rsidRPr="006D6456">
              <w:rPr>
                <w:rFonts w:asciiTheme="minorHAnsi" w:hAnsiTheme="minorHAnsi" w:cstheme="minorHAnsi"/>
                <w:color w:val="0000FF"/>
              </w:rPr>
              <w:t xml:space="preserve">Agreed. The text has been changed </w:t>
            </w:r>
            <w:r>
              <w:rPr>
                <w:rFonts w:asciiTheme="minorHAnsi" w:hAnsiTheme="minorHAnsi" w:cstheme="minorHAnsi"/>
                <w:color w:val="0000FF"/>
              </w:rPr>
              <w:t xml:space="preserve">so </w:t>
            </w:r>
            <w:r w:rsidRPr="006D6456">
              <w:rPr>
                <w:rFonts w:asciiTheme="minorHAnsi" w:hAnsiTheme="minorHAnsi" w:cstheme="minorHAnsi"/>
                <w:color w:val="0000FF"/>
              </w:rPr>
              <w:t xml:space="preserve">that it now no longer refers to the ORIGINS of the crisis, but rather to the undisputed </w:t>
            </w:r>
            <w:r>
              <w:rPr>
                <w:rFonts w:asciiTheme="minorHAnsi" w:hAnsiTheme="minorHAnsi" w:cstheme="minorHAnsi"/>
                <w:color w:val="0000FF"/>
              </w:rPr>
              <w:t>commencement</w:t>
            </w:r>
            <w:r w:rsidRPr="006D6456">
              <w:rPr>
                <w:rFonts w:asciiTheme="minorHAnsi" w:hAnsiTheme="minorHAnsi" w:cstheme="minorHAnsi"/>
                <w:color w:val="0000FF"/>
              </w:rPr>
              <w:t xml:space="preserve"> of the crisis</w:t>
            </w:r>
            <w:r>
              <w:rPr>
                <w:rFonts w:asciiTheme="minorHAnsi" w:hAnsiTheme="minorHAnsi" w:cstheme="minorHAnsi"/>
                <w:color w:val="0000FF"/>
              </w:rPr>
              <w:t>. T</w:t>
            </w:r>
            <w:r w:rsidR="00584020">
              <w:rPr>
                <w:rFonts w:asciiTheme="minorHAnsi" w:hAnsiTheme="minorHAnsi" w:cstheme="minorHAnsi"/>
                <w:color w:val="0000FF"/>
              </w:rPr>
              <w:t>he t</w:t>
            </w:r>
            <w:r>
              <w:rPr>
                <w:rFonts w:asciiTheme="minorHAnsi" w:hAnsiTheme="minorHAnsi" w:cstheme="minorHAnsi"/>
                <w:color w:val="0000FF"/>
              </w:rPr>
              <w:t xml:space="preserve">ext now reads: </w:t>
            </w:r>
            <w:r w:rsidRPr="006D6456">
              <w:rPr>
                <w:rFonts w:asciiTheme="minorHAnsi" w:hAnsiTheme="minorHAnsi" w:cstheme="minorHAnsi"/>
                <w:i/>
                <w:color w:val="0000FF"/>
              </w:rPr>
              <w:t>"The financial crisis that has wreaked havoc in global financial markets since August 2007 had its origins in an asset price bubble that interacted with new kinds of financial innovations that masked risk."</w:t>
            </w:r>
          </w:p>
        </w:tc>
      </w:tr>
      <w:tr w:rsidR="006D6456" w:rsidRPr="00702354" w:rsidTr="009C10B0">
        <w:tc>
          <w:tcPr>
            <w:tcW w:w="0" w:type="auto"/>
            <w:vAlign w:val="center"/>
          </w:tcPr>
          <w:p w:rsidR="006D6456" w:rsidRPr="00702354" w:rsidRDefault="006D6456" w:rsidP="00086EAF">
            <w:pPr>
              <w:spacing w:after="0" w:line="240" w:lineRule="auto"/>
              <w:rPr>
                <w:rFonts w:asciiTheme="minorHAnsi" w:hAnsiTheme="minorHAnsi" w:cstheme="minorHAnsi"/>
              </w:rPr>
            </w:pPr>
            <w:r w:rsidRPr="00702354">
              <w:rPr>
                <w:rFonts w:asciiTheme="minorHAnsi" w:hAnsiTheme="minorHAnsi" w:cstheme="minorHAnsi"/>
              </w:rPr>
              <w:t>I would have expected at least some reference to the South African situation. It is problematic that, with the title “Basel III countercyclical ca</w:t>
            </w:r>
            <w:r w:rsidRPr="00702354">
              <w:rPr>
                <w:rFonts w:asciiTheme="minorHAnsi" w:hAnsiTheme="minorHAnsi" w:cstheme="minorHAnsi"/>
              </w:rPr>
              <w:t>p</w:t>
            </w:r>
            <w:r w:rsidRPr="00702354">
              <w:rPr>
                <w:rFonts w:asciiTheme="minorHAnsi" w:hAnsiTheme="minorHAnsi" w:cstheme="minorHAnsi"/>
              </w:rPr>
              <w:t>ital rules: implications for South Africa”, there is not a single reference to the SA situation in a 3 page literature review. I propose that the a</w:t>
            </w:r>
            <w:r w:rsidRPr="00702354">
              <w:rPr>
                <w:rFonts w:asciiTheme="minorHAnsi" w:hAnsiTheme="minorHAnsi" w:cstheme="minorHAnsi"/>
              </w:rPr>
              <w:t>u</w:t>
            </w:r>
            <w:r w:rsidRPr="00702354">
              <w:rPr>
                <w:rFonts w:asciiTheme="minorHAnsi" w:hAnsiTheme="minorHAnsi" w:cstheme="minorHAnsi"/>
              </w:rPr>
              <w:t>thor revisits Section 2.</w:t>
            </w:r>
          </w:p>
        </w:tc>
        <w:tc>
          <w:tcPr>
            <w:tcW w:w="0" w:type="auto"/>
            <w:shd w:val="clear" w:color="auto" w:fill="DBE5F1" w:themeFill="accent1" w:themeFillTint="33"/>
            <w:vAlign w:val="center"/>
          </w:tcPr>
          <w:p w:rsidR="00DA2752" w:rsidRDefault="00111A0C" w:rsidP="00553613">
            <w:pPr>
              <w:spacing w:after="0" w:line="240" w:lineRule="auto"/>
              <w:rPr>
                <w:rFonts w:asciiTheme="minorHAnsi" w:hAnsiTheme="minorHAnsi" w:cstheme="minorHAnsi"/>
                <w:color w:val="0000FF"/>
              </w:rPr>
            </w:pPr>
            <w:r w:rsidRPr="009C10B0">
              <w:rPr>
                <w:rFonts w:asciiTheme="minorHAnsi" w:hAnsiTheme="minorHAnsi" w:cstheme="minorHAnsi"/>
                <w:color w:val="0000FF"/>
              </w:rPr>
              <w:t xml:space="preserve">Partially agree. </w:t>
            </w:r>
          </w:p>
          <w:p w:rsidR="00DA2752" w:rsidRDefault="00111A0C" w:rsidP="00DA2752">
            <w:pPr>
              <w:spacing w:after="0" w:line="240" w:lineRule="auto"/>
              <w:rPr>
                <w:rFonts w:asciiTheme="minorHAnsi" w:hAnsiTheme="minorHAnsi" w:cstheme="minorHAnsi"/>
                <w:color w:val="0000FF"/>
              </w:rPr>
            </w:pPr>
            <w:r w:rsidRPr="009C10B0">
              <w:rPr>
                <w:rFonts w:asciiTheme="minorHAnsi" w:hAnsiTheme="minorHAnsi" w:cstheme="minorHAnsi"/>
                <w:color w:val="0000FF"/>
              </w:rPr>
              <w:t xml:space="preserve">The problem is that the Basel III procyclical rules are so </w:t>
            </w:r>
            <w:r w:rsidR="00553613">
              <w:rPr>
                <w:rFonts w:asciiTheme="minorHAnsi" w:hAnsiTheme="minorHAnsi" w:cstheme="minorHAnsi"/>
                <w:color w:val="0000FF"/>
              </w:rPr>
              <w:t>recent</w:t>
            </w:r>
            <w:r w:rsidRPr="009C10B0">
              <w:rPr>
                <w:rFonts w:asciiTheme="minorHAnsi" w:hAnsiTheme="minorHAnsi" w:cstheme="minorHAnsi"/>
                <w:color w:val="0000FF"/>
              </w:rPr>
              <w:t xml:space="preserve">, there is little </w:t>
            </w:r>
            <w:r w:rsidR="00553613">
              <w:rPr>
                <w:rFonts w:asciiTheme="minorHAnsi" w:hAnsiTheme="minorHAnsi" w:cstheme="minorHAnsi"/>
                <w:color w:val="0000FF"/>
              </w:rPr>
              <w:t>[</w:t>
            </w:r>
            <w:r w:rsidRPr="009C10B0">
              <w:rPr>
                <w:rFonts w:asciiTheme="minorHAnsi" w:hAnsiTheme="minorHAnsi" w:cstheme="minorHAnsi"/>
                <w:color w:val="0000FF"/>
              </w:rPr>
              <w:t>to no</w:t>
            </w:r>
            <w:r w:rsidR="00553613">
              <w:rPr>
                <w:rFonts w:asciiTheme="minorHAnsi" w:hAnsiTheme="minorHAnsi" w:cstheme="minorHAnsi"/>
                <w:color w:val="0000FF"/>
              </w:rPr>
              <w:t>]</w:t>
            </w:r>
            <w:r w:rsidRPr="009C10B0">
              <w:rPr>
                <w:rFonts w:asciiTheme="minorHAnsi" w:hAnsiTheme="minorHAnsi" w:cstheme="minorHAnsi"/>
                <w:color w:val="0000FF"/>
              </w:rPr>
              <w:t xml:space="preserve"> literature concerning the i</w:t>
            </w:r>
            <w:r w:rsidRPr="009C10B0">
              <w:rPr>
                <w:rFonts w:asciiTheme="minorHAnsi" w:hAnsiTheme="minorHAnsi" w:cstheme="minorHAnsi"/>
                <w:color w:val="0000FF"/>
              </w:rPr>
              <w:t>m</w:t>
            </w:r>
            <w:r w:rsidRPr="009C10B0">
              <w:rPr>
                <w:rFonts w:asciiTheme="minorHAnsi" w:hAnsiTheme="minorHAnsi" w:cstheme="minorHAnsi"/>
                <w:color w:val="0000FF"/>
              </w:rPr>
              <w:t>pact of these new rules on the South African market</w:t>
            </w:r>
            <w:r w:rsidR="00553613">
              <w:rPr>
                <w:rFonts w:asciiTheme="minorHAnsi" w:hAnsiTheme="minorHAnsi" w:cstheme="minorHAnsi"/>
                <w:color w:val="0000FF"/>
              </w:rPr>
              <w:t xml:space="preserve"> at present</w:t>
            </w:r>
            <w:r w:rsidR="00DA2752">
              <w:rPr>
                <w:rFonts w:asciiTheme="minorHAnsi" w:hAnsiTheme="minorHAnsi" w:cstheme="minorHAnsi"/>
                <w:color w:val="0000FF"/>
              </w:rPr>
              <w:t xml:space="preserve"> (April 2012)</w:t>
            </w:r>
            <w:r w:rsidR="00DD609C" w:rsidRPr="009C10B0">
              <w:rPr>
                <w:rFonts w:asciiTheme="minorHAnsi" w:hAnsiTheme="minorHAnsi" w:cstheme="minorHAnsi"/>
                <w:color w:val="0000FF"/>
              </w:rPr>
              <w:t xml:space="preserve">. </w:t>
            </w:r>
          </w:p>
          <w:p w:rsidR="00111A0C" w:rsidRDefault="00DD609C" w:rsidP="00ED2B98">
            <w:pPr>
              <w:spacing w:after="0" w:line="240" w:lineRule="auto"/>
              <w:rPr>
                <w:rFonts w:asciiTheme="minorHAnsi" w:hAnsiTheme="minorHAnsi" w:cstheme="minorHAnsi"/>
                <w:color w:val="0000FF"/>
              </w:rPr>
            </w:pPr>
            <w:r w:rsidRPr="009C10B0">
              <w:rPr>
                <w:rFonts w:asciiTheme="minorHAnsi" w:hAnsiTheme="minorHAnsi" w:cstheme="minorHAnsi"/>
                <w:color w:val="0000FF"/>
              </w:rPr>
              <w:t>Th</w:t>
            </w:r>
            <w:r w:rsidR="00DA2752">
              <w:rPr>
                <w:rFonts w:asciiTheme="minorHAnsi" w:hAnsiTheme="minorHAnsi" w:cstheme="minorHAnsi"/>
                <w:color w:val="0000FF"/>
              </w:rPr>
              <w:t>e</w:t>
            </w:r>
            <w:r w:rsidRPr="009C10B0">
              <w:rPr>
                <w:rFonts w:asciiTheme="minorHAnsi" w:hAnsiTheme="minorHAnsi" w:cstheme="minorHAnsi"/>
                <w:color w:val="0000FF"/>
              </w:rPr>
              <w:t xml:space="preserve"> purpose of this study was not designed to review the </w:t>
            </w:r>
            <w:r w:rsidR="00553613">
              <w:rPr>
                <w:rFonts w:asciiTheme="minorHAnsi" w:hAnsiTheme="minorHAnsi" w:cstheme="minorHAnsi"/>
                <w:color w:val="0000FF"/>
              </w:rPr>
              <w:t xml:space="preserve">existing literature on countercyclicality in South Africa, but rather to </w:t>
            </w:r>
            <w:r w:rsidR="00553613" w:rsidRPr="00DA2752">
              <w:rPr>
                <w:rFonts w:asciiTheme="minorHAnsi" w:hAnsiTheme="minorHAnsi" w:cstheme="minorHAnsi"/>
                <w:color w:val="0000FF"/>
                <w:u w:val="single"/>
              </w:rPr>
              <w:t>initiate</w:t>
            </w:r>
            <w:r w:rsidR="00553613">
              <w:rPr>
                <w:rFonts w:asciiTheme="minorHAnsi" w:hAnsiTheme="minorHAnsi" w:cstheme="minorHAnsi"/>
                <w:color w:val="0000FF"/>
              </w:rPr>
              <w:t xml:space="preserve"> a discussion of the implications </w:t>
            </w:r>
            <w:r w:rsidR="00ED2B98">
              <w:rPr>
                <w:rFonts w:asciiTheme="minorHAnsi" w:hAnsiTheme="minorHAnsi" w:cstheme="minorHAnsi"/>
                <w:color w:val="0000FF"/>
              </w:rPr>
              <w:t>of Basel III countercyclical rules for South Africa through the appl</w:t>
            </w:r>
            <w:r w:rsidR="00ED2B98">
              <w:rPr>
                <w:rFonts w:asciiTheme="minorHAnsi" w:hAnsiTheme="minorHAnsi" w:cstheme="minorHAnsi"/>
                <w:color w:val="0000FF"/>
              </w:rPr>
              <w:t>i</w:t>
            </w:r>
            <w:r w:rsidR="00ED2B98">
              <w:rPr>
                <w:rFonts w:asciiTheme="minorHAnsi" w:hAnsiTheme="minorHAnsi" w:cstheme="minorHAnsi"/>
                <w:color w:val="0000FF"/>
              </w:rPr>
              <w:t>cation of these rules and an exploration of what might have been had the rules been in place historically.</w:t>
            </w:r>
          </w:p>
          <w:p w:rsidR="00347D2D" w:rsidRPr="000E4FF8" w:rsidRDefault="00347D2D" w:rsidP="00347D2D">
            <w:pPr>
              <w:spacing w:after="0" w:line="240" w:lineRule="auto"/>
              <w:rPr>
                <w:rFonts w:asciiTheme="minorHAnsi" w:hAnsiTheme="minorHAnsi" w:cstheme="minorHAnsi"/>
              </w:rPr>
            </w:pPr>
            <w:r>
              <w:rPr>
                <w:rFonts w:asciiTheme="minorHAnsi" w:hAnsiTheme="minorHAnsi" w:cstheme="minorHAnsi"/>
                <w:color w:val="0000FF"/>
              </w:rPr>
              <w:t>That said</w:t>
            </w:r>
            <w:proofErr w:type="gramStart"/>
            <w:r>
              <w:rPr>
                <w:rFonts w:asciiTheme="minorHAnsi" w:hAnsiTheme="minorHAnsi" w:cstheme="minorHAnsi"/>
                <w:color w:val="0000FF"/>
              </w:rPr>
              <w:t>,</w:t>
            </w:r>
            <w:proofErr w:type="gramEnd"/>
            <w:r>
              <w:rPr>
                <w:rFonts w:asciiTheme="minorHAnsi" w:hAnsiTheme="minorHAnsi" w:cstheme="minorHAnsi"/>
                <w:color w:val="0000FF"/>
              </w:rPr>
              <w:t xml:space="preserve"> the discussion and conclusion sections have been augmented with a more </w:t>
            </w:r>
            <w:r w:rsidRPr="00347D2D">
              <w:rPr>
                <w:rFonts w:asciiTheme="minorHAnsi" w:hAnsiTheme="minorHAnsi" w:cstheme="minorHAnsi"/>
                <w:i/>
                <w:color w:val="0000FF"/>
              </w:rPr>
              <w:t>South African</w:t>
            </w:r>
            <w:r>
              <w:rPr>
                <w:rFonts w:asciiTheme="minorHAnsi" w:hAnsiTheme="minorHAnsi" w:cstheme="minorHAnsi"/>
                <w:color w:val="0000FF"/>
              </w:rPr>
              <w:t xml:space="preserve"> flavour (see comments below).</w:t>
            </w:r>
          </w:p>
        </w:tc>
      </w:tr>
      <w:tr w:rsidR="006D6456" w:rsidRPr="00702354" w:rsidTr="00DA7330">
        <w:tc>
          <w:tcPr>
            <w:tcW w:w="0" w:type="auto"/>
            <w:vAlign w:val="center"/>
          </w:tcPr>
          <w:p w:rsidR="006D6456" w:rsidRPr="00702354" w:rsidRDefault="006D6456" w:rsidP="00E732E0">
            <w:pPr>
              <w:spacing w:after="0" w:line="240" w:lineRule="auto"/>
              <w:rPr>
                <w:rFonts w:asciiTheme="minorHAnsi" w:hAnsiTheme="minorHAnsi" w:cstheme="minorHAnsi"/>
              </w:rPr>
            </w:pPr>
            <w:r w:rsidRPr="00702354">
              <w:rPr>
                <w:rFonts w:asciiTheme="minorHAnsi" w:hAnsiTheme="minorHAnsi" w:cstheme="minorHAnsi"/>
              </w:rPr>
              <w:t>Section 3 makes some very strong statements without providing a single reference. I would caution against this approach and advise that the author includes some supporting refe</w:t>
            </w:r>
            <w:r w:rsidRPr="00702354">
              <w:rPr>
                <w:rFonts w:asciiTheme="minorHAnsi" w:hAnsiTheme="minorHAnsi" w:cstheme="minorHAnsi"/>
              </w:rPr>
              <w:t>r</w:t>
            </w:r>
            <w:r w:rsidRPr="00702354">
              <w:rPr>
                <w:rFonts w:asciiTheme="minorHAnsi" w:hAnsiTheme="minorHAnsi" w:cstheme="minorHAnsi"/>
              </w:rPr>
              <w:t xml:space="preserve">ences in this section. </w:t>
            </w:r>
          </w:p>
        </w:tc>
        <w:tc>
          <w:tcPr>
            <w:tcW w:w="0" w:type="auto"/>
            <w:shd w:val="clear" w:color="auto" w:fill="DBE5F1" w:themeFill="accent1" w:themeFillTint="33"/>
            <w:vAlign w:val="center"/>
          </w:tcPr>
          <w:p w:rsidR="00DA7330" w:rsidRPr="00DA7330" w:rsidRDefault="00DA7330" w:rsidP="00DA7330">
            <w:pPr>
              <w:spacing w:after="0" w:line="240" w:lineRule="auto"/>
              <w:jc w:val="both"/>
              <w:rPr>
                <w:rFonts w:asciiTheme="minorHAnsi" w:hAnsiTheme="minorHAnsi" w:cstheme="minorHAnsi"/>
                <w:color w:val="0000FF"/>
              </w:rPr>
            </w:pPr>
            <w:r w:rsidRPr="00DA7330">
              <w:rPr>
                <w:rFonts w:asciiTheme="minorHAnsi" w:hAnsiTheme="minorHAnsi" w:cstheme="minorHAnsi"/>
                <w:color w:val="0000FF"/>
              </w:rPr>
              <w:t xml:space="preserve">Agreed. </w:t>
            </w:r>
          </w:p>
          <w:p w:rsidR="00DA7330" w:rsidRPr="00DA7330" w:rsidRDefault="00DA7330" w:rsidP="00DA7330">
            <w:pPr>
              <w:spacing w:after="0" w:line="240" w:lineRule="auto"/>
              <w:jc w:val="both"/>
              <w:rPr>
                <w:rFonts w:asciiTheme="minorHAnsi" w:hAnsiTheme="minorHAnsi" w:cstheme="minorHAnsi"/>
                <w:color w:val="0000FF"/>
              </w:rPr>
            </w:pPr>
            <w:r w:rsidRPr="00DA7330">
              <w:rPr>
                <w:rFonts w:asciiTheme="minorHAnsi" w:hAnsiTheme="minorHAnsi" w:cstheme="minorHAnsi"/>
                <w:color w:val="0000FF"/>
              </w:rPr>
              <w:t>Sources now include</w:t>
            </w:r>
          </w:p>
          <w:p w:rsidR="00DA7330" w:rsidRPr="00DA7330" w:rsidRDefault="00DA7330" w:rsidP="00DA7330">
            <w:pPr>
              <w:pStyle w:val="ListParagraph"/>
              <w:numPr>
                <w:ilvl w:val="0"/>
                <w:numId w:val="5"/>
              </w:numPr>
              <w:spacing w:after="0" w:line="240" w:lineRule="auto"/>
              <w:jc w:val="both"/>
              <w:rPr>
                <w:rFonts w:asciiTheme="minorHAnsi" w:hAnsiTheme="minorHAnsi" w:cstheme="minorHAnsi"/>
                <w:color w:val="0000FF"/>
              </w:rPr>
            </w:pPr>
            <w:proofErr w:type="spellStart"/>
            <w:r w:rsidRPr="00DA7330">
              <w:rPr>
                <w:rFonts w:asciiTheme="minorHAnsi" w:hAnsiTheme="minorHAnsi" w:cstheme="minorHAnsi"/>
                <w:color w:val="0000FF"/>
              </w:rPr>
              <w:t>Brunnermeier</w:t>
            </w:r>
            <w:proofErr w:type="spellEnd"/>
            <w:r w:rsidRPr="00DA7330">
              <w:rPr>
                <w:rFonts w:asciiTheme="minorHAnsi" w:hAnsiTheme="minorHAnsi" w:cstheme="minorHAnsi"/>
                <w:color w:val="0000FF"/>
              </w:rPr>
              <w:t>, 2009</w:t>
            </w:r>
          </w:p>
          <w:p w:rsidR="00DA7330" w:rsidRPr="00DA7330" w:rsidRDefault="00DA7330" w:rsidP="00DA7330">
            <w:pPr>
              <w:pStyle w:val="ListParagraph"/>
              <w:numPr>
                <w:ilvl w:val="0"/>
                <w:numId w:val="5"/>
              </w:numPr>
              <w:spacing w:after="0" w:line="240" w:lineRule="auto"/>
              <w:jc w:val="both"/>
              <w:rPr>
                <w:rFonts w:asciiTheme="minorHAnsi" w:hAnsiTheme="minorHAnsi" w:cstheme="minorHAnsi"/>
                <w:color w:val="0000FF"/>
              </w:rPr>
            </w:pPr>
            <w:proofErr w:type="spellStart"/>
            <w:r w:rsidRPr="00DA7330">
              <w:rPr>
                <w:rFonts w:asciiTheme="minorHAnsi" w:hAnsiTheme="minorHAnsi" w:cstheme="minorHAnsi"/>
                <w:color w:val="0000FF"/>
              </w:rPr>
              <w:t>Saurina</w:t>
            </w:r>
            <w:proofErr w:type="spellEnd"/>
            <w:r w:rsidRPr="00DA7330">
              <w:rPr>
                <w:rFonts w:asciiTheme="minorHAnsi" w:hAnsiTheme="minorHAnsi" w:cstheme="minorHAnsi"/>
                <w:color w:val="0000FF"/>
              </w:rPr>
              <w:t xml:space="preserve">, &amp; </w:t>
            </w:r>
            <w:proofErr w:type="spellStart"/>
            <w:r w:rsidRPr="00DA7330">
              <w:rPr>
                <w:rFonts w:asciiTheme="minorHAnsi" w:hAnsiTheme="minorHAnsi" w:cstheme="minorHAnsi"/>
                <w:color w:val="0000FF"/>
              </w:rPr>
              <w:t>Trucharte</w:t>
            </w:r>
            <w:proofErr w:type="spellEnd"/>
            <w:r w:rsidRPr="00DA7330">
              <w:rPr>
                <w:rFonts w:asciiTheme="minorHAnsi" w:hAnsiTheme="minorHAnsi" w:cstheme="minorHAnsi"/>
                <w:color w:val="0000FF"/>
              </w:rPr>
              <w:t>, 2007</w:t>
            </w:r>
          </w:p>
          <w:p w:rsidR="006D6456" w:rsidRPr="00DA7330" w:rsidRDefault="00DA7330" w:rsidP="00DA7330">
            <w:pPr>
              <w:pStyle w:val="ListParagraph"/>
              <w:numPr>
                <w:ilvl w:val="0"/>
                <w:numId w:val="5"/>
              </w:numPr>
              <w:spacing w:after="0" w:line="240" w:lineRule="auto"/>
              <w:jc w:val="both"/>
              <w:rPr>
                <w:rFonts w:asciiTheme="minorHAnsi" w:hAnsiTheme="minorHAnsi" w:cstheme="minorHAnsi"/>
                <w:color w:val="0000FF"/>
              </w:rPr>
            </w:pPr>
            <w:r w:rsidRPr="00DA7330">
              <w:rPr>
                <w:rFonts w:asciiTheme="minorHAnsi" w:hAnsiTheme="minorHAnsi" w:cstheme="minorHAnsi"/>
                <w:color w:val="0000FF"/>
              </w:rPr>
              <w:t xml:space="preserve">BCBS, 2010b and </w:t>
            </w:r>
          </w:p>
          <w:p w:rsidR="00DA7330" w:rsidRPr="00DA7330" w:rsidRDefault="00DA7330" w:rsidP="00DA7330">
            <w:pPr>
              <w:pStyle w:val="ListParagraph"/>
              <w:numPr>
                <w:ilvl w:val="0"/>
                <w:numId w:val="5"/>
              </w:numPr>
              <w:spacing w:after="0" w:line="240" w:lineRule="auto"/>
              <w:jc w:val="both"/>
              <w:rPr>
                <w:rFonts w:asciiTheme="minorHAnsi" w:hAnsiTheme="minorHAnsi" w:cstheme="minorHAnsi"/>
                <w:color w:val="0000FF"/>
              </w:rPr>
            </w:pPr>
            <w:proofErr w:type="spellStart"/>
            <w:r w:rsidRPr="00DA7330">
              <w:rPr>
                <w:rFonts w:asciiTheme="minorHAnsi" w:hAnsiTheme="minorHAnsi" w:cstheme="minorHAnsi"/>
                <w:color w:val="0000FF"/>
              </w:rPr>
              <w:t>Drehmann</w:t>
            </w:r>
            <w:proofErr w:type="spellEnd"/>
            <w:r w:rsidRPr="00DA7330">
              <w:rPr>
                <w:rFonts w:asciiTheme="minorHAnsi" w:hAnsiTheme="minorHAnsi" w:cstheme="minorHAnsi"/>
                <w:color w:val="0000FF"/>
              </w:rPr>
              <w:t>, 2010.</w:t>
            </w:r>
          </w:p>
        </w:tc>
      </w:tr>
      <w:tr w:rsidR="006D6456" w:rsidRPr="00702354" w:rsidTr="003E4119">
        <w:tc>
          <w:tcPr>
            <w:tcW w:w="0" w:type="auto"/>
            <w:shd w:val="clear" w:color="auto" w:fill="FFFFFF" w:themeFill="background1"/>
            <w:vAlign w:val="center"/>
          </w:tcPr>
          <w:p w:rsidR="006D6456" w:rsidRPr="00702354" w:rsidRDefault="005E4F11" w:rsidP="005E4F11">
            <w:pPr>
              <w:spacing w:after="0" w:line="240" w:lineRule="auto"/>
              <w:rPr>
                <w:rFonts w:asciiTheme="minorHAnsi" w:hAnsiTheme="minorHAnsi" w:cstheme="minorHAnsi"/>
              </w:rPr>
            </w:pPr>
            <w:r>
              <w:rPr>
                <w:rFonts w:asciiTheme="minorHAnsi" w:hAnsiTheme="minorHAnsi" w:cstheme="minorHAnsi"/>
              </w:rPr>
              <w:t>W</w:t>
            </w:r>
            <w:r w:rsidR="006D6456" w:rsidRPr="00702354">
              <w:rPr>
                <w:rFonts w:asciiTheme="minorHAnsi" w:hAnsiTheme="minorHAnsi" w:cstheme="minorHAnsi"/>
              </w:rPr>
              <w:t xml:space="preserve">hy </w:t>
            </w:r>
            <w:r>
              <w:rPr>
                <w:rFonts w:asciiTheme="minorHAnsi" w:hAnsiTheme="minorHAnsi" w:cstheme="minorHAnsi"/>
              </w:rPr>
              <w:t xml:space="preserve">is </w:t>
            </w:r>
            <w:r w:rsidR="006D6456" w:rsidRPr="00702354">
              <w:rPr>
                <w:rFonts w:asciiTheme="minorHAnsi" w:hAnsiTheme="minorHAnsi" w:cstheme="minorHAnsi"/>
              </w:rPr>
              <w:t xml:space="preserve">the first paragraph on p7 interrupted by Fig </w:t>
            </w:r>
            <w:proofErr w:type="gramStart"/>
            <w:r w:rsidR="006D6456" w:rsidRPr="00702354">
              <w:rPr>
                <w:rFonts w:asciiTheme="minorHAnsi" w:hAnsiTheme="minorHAnsi" w:cstheme="minorHAnsi"/>
              </w:rPr>
              <w:t>1.</w:t>
            </w:r>
            <w:proofErr w:type="gramEnd"/>
            <w:r w:rsidR="006D6456" w:rsidRPr="00702354">
              <w:rPr>
                <w:rFonts w:asciiTheme="minorHAnsi" w:hAnsiTheme="minorHAnsi" w:cstheme="minorHAnsi"/>
              </w:rPr>
              <w:t xml:space="preserve"> </w:t>
            </w:r>
            <w:r w:rsidR="002622D6">
              <w:rPr>
                <w:rFonts w:asciiTheme="minorHAnsi" w:hAnsiTheme="minorHAnsi" w:cstheme="minorHAnsi"/>
              </w:rPr>
              <w:t>E</w:t>
            </w:r>
            <w:r w:rsidR="006D6456" w:rsidRPr="00702354">
              <w:rPr>
                <w:rFonts w:asciiTheme="minorHAnsi" w:hAnsiTheme="minorHAnsi" w:cstheme="minorHAnsi"/>
              </w:rPr>
              <w:t xml:space="preserve">nsure that the </w:t>
            </w:r>
            <w:r>
              <w:rPr>
                <w:rFonts w:asciiTheme="minorHAnsi" w:hAnsiTheme="minorHAnsi" w:cstheme="minorHAnsi"/>
              </w:rPr>
              <w:t>1</w:t>
            </w:r>
            <w:r w:rsidRPr="005E4F11">
              <w:rPr>
                <w:rFonts w:asciiTheme="minorHAnsi" w:hAnsiTheme="minorHAnsi" w:cstheme="minorHAnsi"/>
                <w:vertAlign w:val="superscript"/>
              </w:rPr>
              <w:t>st</w:t>
            </w:r>
            <w:r>
              <w:rPr>
                <w:rFonts w:asciiTheme="minorHAnsi" w:hAnsiTheme="minorHAnsi" w:cstheme="minorHAnsi"/>
              </w:rPr>
              <w:t xml:space="preserve"> </w:t>
            </w:r>
            <w:r w:rsidR="006D6456" w:rsidRPr="00702354">
              <w:rPr>
                <w:rFonts w:asciiTheme="minorHAnsi" w:hAnsiTheme="minorHAnsi" w:cstheme="minorHAnsi"/>
              </w:rPr>
              <w:t xml:space="preserve">paragraph concludes with “... </w:t>
            </w:r>
            <w:proofErr w:type="spellStart"/>
            <w:r w:rsidR="006D6456" w:rsidRPr="00702354">
              <w:rPr>
                <w:rFonts w:asciiTheme="minorHAnsi" w:hAnsiTheme="minorHAnsi" w:cstheme="minorHAnsi"/>
              </w:rPr>
              <w:t>Trucharte</w:t>
            </w:r>
            <w:proofErr w:type="spellEnd"/>
            <w:r w:rsidR="006D6456" w:rsidRPr="00702354">
              <w:rPr>
                <w:rFonts w:asciiTheme="minorHAnsi" w:hAnsiTheme="minorHAnsi" w:cstheme="minorHAnsi"/>
              </w:rPr>
              <w:t>, 2010).” followed by Fig 1.</w:t>
            </w:r>
          </w:p>
        </w:tc>
        <w:tc>
          <w:tcPr>
            <w:tcW w:w="0" w:type="auto"/>
            <w:shd w:val="clear" w:color="auto" w:fill="DBE5F1" w:themeFill="accent1" w:themeFillTint="33"/>
            <w:vAlign w:val="center"/>
          </w:tcPr>
          <w:p w:rsidR="006D6456" w:rsidRPr="00DA7330" w:rsidRDefault="006D6456" w:rsidP="00DA7330">
            <w:pPr>
              <w:spacing w:after="0" w:line="240" w:lineRule="auto"/>
              <w:rPr>
                <w:rFonts w:asciiTheme="minorHAnsi" w:hAnsiTheme="minorHAnsi" w:cstheme="minorHAnsi"/>
                <w:color w:val="0000FF"/>
              </w:rPr>
            </w:pPr>
            <w:r w:rsidRPr="00DA7330">
              <w:rPr>
                <w:rFonts w:asciiTheme="minorHAnsi" w:hAnsiTheme="minorHAnsi" w:cstheme="minorHAnsi"/>
                <w:color w:val="0000FF"/>
              </w:rPr>
              <w:t>Agreed. This has been changed.</w:t>
            </w:r>
          </w:p>
        </w:tc>
      </w:tr>
      <w:tr w:rsidR="006D6456" w:rsidRPr="00702354" w:rsidTr="00A21802">
        <w:tc>
          <w:tcPr>
            <w:tcW w:w="0" w:type="auto"/>
            <w:vAlign w:val="center"/>
          </w:tcPr>
          <w:p w:rsidR="006D6456" w:rsidRPr="00702354" w:rsidRDefault="004A47D4" w:rsidP="004A47D4">
            <w:pPr>
              <w:spacing w:after="0" w:line="240" w:lineRule="auto"/>
              <w:rPr>
                <w:rFonts w:asciiTheme="minorHAnsi" w:hAnsiTheme="minorHAnsi" w:cstheme="minorHAnsi"/>
              </w:rPr>
            </w:pPr>
            <w:r w:rsidRPr="00702354">
              <w:rPr>
                <w:rFonts w:asciiTheme="minorHAnsi" w:hAnsiTheme="minorHAnsi" w:cstheme="minorHAnsi"/>
              </w:rPr>
              <w:t>T</w:t>
            </w:r>
            <w:r w:rsidR="006D6456" w:rsidRPr="00702354">
              <w:rPr>
                <w:rFonts w:asciiTheme="minorHAnsi" w:hAnsiTheme="minorHAnsi" w:cstheme="minorHAnsi"/>
              </w:rPr>
              <w:t>he</w:t>
            </w:r>
            <w:r>
              <w:rPr>
                <w:rFonts w:asciiTheme="minorHAnsi" w:hAnsiTheme="minorHAnsi" w:cstheme="minorHAnsi"/>
              </w:rPr>
              <w:t xml:space="preserve"> </w:t>
            </w:r>
            <w:r w:rsidR="006D6456" w:rsidRPr="00702354">
              <w:rPr>
                <w:rFonts w:asciiTheme="minorHAnsi" w:hAnsiTheme="minorHAnsi" w:cstheme="minorHAnsi"/>
              </w:rPr>
              <w:t xml:space="preserve">author </w:t>
            </w:r>
            <w:r>
              <w:rPr>
                <w:rFonts w:asciiTheme="minorHAnsi" w:hAnsiTheme="minorHAnsi" w:cstheme="minorHAnsi"/>
              </w:rPr>
              <w:t xml:space="preserve">should </w:t>
            </w:r>
            <w:r w:rsidR="006D6456" w:rsidRPr="00702354">
              <w:rPr>
                <w:rFonts w:asciiTheme="minorHAnsi" w:hAnsiTheme="minorHAnsi" w:cstheme="minorHAnsi"/>
              </w:rPr>
              <w:t>consider</w:t>
            </w:r>
            <w:r>
              <w:rPr>
                <w:rFonts w:asciiTheme="minorHAnsi" w:hAnsiTheme="minorHAnsi" w:cstheme="minorHAnsi"/>
              </w:rPr>
              <w:t xml:space="preserve"> t</w:t>
            </w:r>
            <w:r w:rsidR="006D6456" w:rsidRPr="00702354">
              <w:rPr>
                <w:rFonts w:asciiTheme="minorHAnsi" w:hAnsiTheme="minorHAnsi" w:cstheme="minorHAnsi"/>
              </w:rPr>
              <w:t xml:space="preserve">he inclusion of more sources in Section 4, specifically when </w:t>
            </w:r>
            <w:r w:rsidR="006D6456" w:rsidRPr="00702354">
              <w:rPr>
                <w:rFonts w:asciiTheme="minorHAnsi" w:hAnsiTheme="minorHAnsi" w:cstheme="minorHAnsi"/>
              </w:rPr>
              <w:lastRenderedPageBreak/>
              <w:t xml:space="preserve">introducing the concepts of “Bottom-up” and “Top down” approaches. </w:t>
            </w:r>
          </w:p>
        </w:tc>
        <w:tc>
          <w:tcPr>
            <w:tcW w:w="0" w:type="auto"/>
            <w:shd w:val="clear" w:color="auto" w:fill="DBE5F1" w:themeFill="accent1" w:themeFillTint="33"/>
            <w:vAlign w:val="center"/>
          </w:tcPr>
          <w:p w:rsidR="006D6456" w:rsidRPr="00FE14E4" w:rsidRDefault="0096220C" w:rsidP="00DA7330">
            <w:pPr>
              <w:spacing w:after="0" w:line="240" w:lineRule="auto"/>
              <w:rPr>
                <w:rFonts w:asciiTheme="minorHAnsi" w:hAnsiTheme="minorHAnsi" w:cstheme="minorHAnsi"/>
                <w:color w:val="0000FF"/>
              </w:rPr>
            </w:pPr>
            <w:r w:rsidRPr="00FE14E4">
              <w:rPr>
                <w:rFonts w:asciiTheme="minorHAnsi" w:hAnsiTheme="minorHAnsi" w:cstheme="minorHAnsi"/>
                <w:color w:val="0000FF"/>
              </w:rPr>
              <w:lastRenderedPageBreak/>
              <w:t xml:space="preserve">Agreed – this has been changed so that more sources are now included, e.g. </w:t>
            </w:r>
            <w:proofErr w:type="spellStart"/>
            <w:r w:rsidRPr="00FE14E4">
              <w:rPr>
                <w:rFonts w:asciiTheme="minorHAnsi" w:hAnsiTheme="minorHAnsi" w:cstheme="minorHAnsi"/>
                <w:color w:val="0000FF"/>
              </w:rPr>
              <w:t>Drehmann</w:t>
            </w:r>
            <w:proofErr w:type="spellEnd"/>
            <w:r w:rsidRPr="00FE14E4">
              <w:rPr>
                <w:rFonts w:asciiTheme="minorHAnsi" w:hAnsiTheme="minorHAnsi" w:cstheme="minorHAnsi"/>
                <w:color w:val="0000FF"/>
              </w:rPr>
              <w:t xml:space="preserve"> et al, 2010 who penned the </w:t>
            </w:r>
            <w:r w:rsidRPr="00FE14E4">
              <w:rPr>
                <w:rFonts w:asciiTheme="minorHAnsi" w:hAnsiTheme="minorHAnsi" w:cstheme="minorHAnsi"/>
                <w:color w:val="0000FF"/>
              </w:rPr>
              <w:lastRenderedPageBreak/>
              <w:t>original article detailing the BIS approach to countercycl</w:t>
            </w:r>
            <w:r w:rsidRPr="00FE14E4">
              <w:rPr>
                <w:rFonts w:asciiTheme="minorHAnsi" w:hAnsiTheme="minorHAnsi" w:cstheme="minorHAnsi"/>
                <w:color w:val="0000FF"/>
              </w:rPr>
              <w:t>i</w:t>
            </w:r>
            <w:r w:rsidRPr="00FE14E4">
              <w:rPr>
                <w:rFonts w:asciiTheme="minorHAnsi" w:hAnsiTheme="minorHAnsi" w:cstheme="minorHAnsi"/>
                <w:color w:val="0000FF"/>
              </w:rPr>
              <w:t>cality.</w:t>
            </w:r>
          </w:p>
        </w:tc>
      </w:tr>
      <w:tr w:rsidR="006D6456" w:rsidRPr="00702354" w:rsidTr="00FE14E4">
        <w:tc>
          <w:tcPr>
            <w:tcW w:w="0" w:type="auto"/>
            <w:vAlign w:val="center"/>
          </w:tcPr>
          <w:p w:rsidR="00590B08" w:rsidRDefault="006D6456" w:rsidP="00086EAF">
            <w:pPr>
              <w:spacing w:after="0" w:line="240" w:lineRule="auto"/>
              <w:rPr>
                <w:rFonts w:asciiTheme="minorHAnsi" w:hAnsiTheme="minorHAnsi" w:cstheme="minorHAnsi"/>
              </w:rPr>
            </w:pPr>
            <w:r w:rsidRPr="00702354">
              <w:rPr>
                <w:rFonts w:asciiTheme="minorHAnsi" w:hAnsiTheme="minorHAnsi" w:cstheme="minorHAnsi"/>
              </w:rPr>
              <w:lastRenderedPageBreak/>
              <w:t xml:space="preserve">Section 5 is, by far the most interesting and the biggest contribution of the article. </w:t>
            </w:r>
          </w:p>
          <w:p w:rsidR="006D6456" w:rsidRPr="00702354" w:rsidRDefault="006D6456" w:rsidP="00590B08">
            <w:pPr>
              <w:spacing w:after="0" w:line="240" w:lineRule="auto"/>
              <w:rPr>
                <w:rFonts w:asciiTheme="minorHAnsi" w:hAnsiTheme="minorHAnsi" w:cstheme="minorHAnsi"/>
              </w:rPr>
            </w:pPr>
            <w:r w:rsidRPr="00702354">
              <w:rPr>
                <w:rFonts w:asciiTheme="minorHAnsi" w:hAnsiTheme="minorHAnsi" w:cstheme="minorHAnsi"/>
              </w:rPr>
              <w:t>I understand that the author made different observations, however, they do not all flow t</w:t>
            </w:r>
            <w:r w:rsidRPr="00702354">
              <w:rPr>
                <w:rFonts w:asciiTheme="minorHAnsi" w:hAnsiTheme="minorHAnsi" w:cstheme="minorHAnsi"/>
              </w:rPr>
              <w:t>o</w:t>
            </w:r>
            <w:r w:rsidRPr="00702354">
              <w:rPr>
                <w:rFonts w:asciiTheme="minorHAnsi" w:hAnsiTheme="minorHAnsi" w:cstheme="minorHAnsi"/>
              </w:rPr>
              <w:t>gether into a concise, confident conclusion. I propose that pages 15-17 of Section 5 are revi</w:t>
            </w:r>
            <w:r w:rsidRPr="00702354">
              <w:rPr>
                <w:rFonts w:asciiTheme="minorHAnsi" w:hAnsiTheme="minorHAnsi" w:cstheme="minorHAnsi"/>
              </w:rPr>
              <w:t>s</w:t>
            </w:r>
            <w:r w:rsidRPr="00702354">
              <w:rPr>
                <w:rFonts w:asciiTheme="minorHAnsi" w:hAnsiTheme="minorHAnsi" w:cstheme="minorHAnsi"/>
              </w:rPr>
              <w:t>ited to address this issue</w:t>
            </w:r>
          </w:p>
        </w:tc>
        <w:tc>
          <w:tcPr>
            <w:tcW w:w="0" w:type="auto"/>
            <w:shd w:val="clear" w:color="auto" w:fill="DBE5F1" w:themeFill="accent1" w:themeFillTint="33"/>
            <w:vAlign w:val="center"/>
          </w:tcPr>
          <w:p w:rsidR="006D6456" w:rsidRPr="00FE14E4" w:rsidRDefault="00FE14E4" w:rsidP="00874B10">
            <w:pPr>
              <w:spacing w:after="0" w:line="240" w:lineRule="auto"/>
              <w:rPr>
                <w:rFonts w:asciiTheme="minorHAnsi" w:hAnsiTheme="minorHAnsi" w:cstheme="minorHAnsi"/>
                <w:color w:val="0000FF"/>
              </w:rPr>
            </w:pPr>
            <w:r w:rsidRPr="00FE14E4">
              <w:rPr>
                <w:rFonts w:asciiTheme="minorHAnsi" w:hAnsiTheme="minorHAnsi" w:cstheme="minorHAnsi"/>
                <w:color w:val="0000FF"/>
              </w:rPr>
              <w:t>This section (as well as the conclusion section) has</w:t>
            </w:r>
            <w:r w:rsidR="00E75F82" w:rsidRPr="00FE14E4">
              <w:rPr>
                <w:rFonts w:asciiTheme="minorHAnsi" w:hAnsiTheme="minorHAnsi" w:cstheme="minorHAnsi"/>
                <w:color w:val="0000FF"/>
              </w:rPr>
              <w:t xml:space="preserve"> been altered considerably. New, updated sources, some from 2012, have been added, as new research has come to light.</w:t>
            </w:r>
            <w:r w:rsidR="00874B10">
              <w:rPr>
                <w:rFonts w:asciiTheme="minorHAnsi" w:hAnsiTheme="minorHAnsi" w:cstheme="minorHAnsi"/>
                <w:color w:val="0000FF"/>
              </w:rPr>
              <w:t xml:space="preserve"> South African specific sources have been added, </w:t>
            </w:r>
            <w:proofErr w:type="gramStart"/>
            <w:r w:rsidR="00874B10">
              <w:rPr>
                <w:rFonts w:asciiTheme="minorHAnsi" w:hAnsiTheme="minorHAnsi" w:cstheme="minorHAnsi"/>
                <w:color w:val="0000FF"/>
              </w:rPr>
              <w:t>commentary on the reaction of the SARB to the still-unfolding crisis have</w:t>
            </w:r>
            <w:proofErr w:type="gramEnd"/>
            <w:r w:rsidR="00874B10">
              <w:rPr>
                <w:rFonts w:asciiTheme="minorHAnsi" w:hAnsiTheme="minorHAnsi" w:cstheme="minorHAnsi"/>
                <w:color w:val="0000FF"/>
              </w:rPr>
              <w:t xml:space="preserve"> been discussed and possible future actions of the SARB have been discussed and analysed.</w:t>
            </w:r>
          </w:p>
        </w:tc>
      </w:tr>
      <w:tr w:rsidR="006D6456" w:rsidRPr="00702354" w:rsidTr="00D26E74">
        <w:tc>
          <w:tcPr>
            <w:tcW w:w="0" w:type="auto"/>
            <w:vAlign w:val="center"/>
          </w:tcPr>
          <w:p w:rsidR="006D6456" w:rsidRPr="00702354" w:rsidRDefault="006D6456" w:rsidP="00086EAF">
            <w:pPr>
              <w:spacing w:after="0" w:line="240" w:lineRule="auto"/>
              <w:rPr>
                <w:rFonts w:asciiTheme="minorHAnsi" w:hAnsiTheme="minorHAnsi" w:cstheme="minorHAnsi"/>
              </w:rPr>
            </w:pPr>
            <w:r w:rsidRPr="00702354">
              <w:rPr>
                <w:rFonts w:asciiTheme="minorHAnsi" w:hAnsiTheme="minorHAnsi" w:cstheme="minorHAnsi"/>
              </w:rPr>
              <w:t>I find it unacceptable that the author does not make a single reference to the SA in the concl</w:t>
            </w:r>
            <w:r w:rsidRPr="00702354">
              <w:rPr>
                <w:rFonts w:asciiTheme="minorHAnsi" w:hAnsiTheme="minorHAnsi" w:cstheme="minorHAnsi"/>
              </w:rPr>
              <w:t>u</w:t>
            </w:r>
            <w:r w:rsidRPr="00702354">
              <w:rPr>
                <w:rFonts w:asciiTheme="minorHAnsi" w:hAnsiTheme="minorHAnsi" w:cstheme="minorHAnsi"/>
              </w:rPr>
              <w:t>sion. This again raises questions about the a</w:t>
            </w:r>
            <w:r w:rsidRPr="00702354">
              <w:rPr>
                <w:rFonts w:asciiTheme="minorHAnsi" w:hAnsiTheme="minorHAnsi" w:cstheme="minorHAnsi"/>
              </w:rPr>
              <w:t>u</w:t>
            </w:r>
            <w:r w:rsidRPr="00702354">
              <w:rPr>
                <w:rFonts w:asciiTheme="minorHAnsi" w:hAnsiTheme="minorHAnsi" w:cstheme="minorHAnsi"/>
              </w:rPr>
              <w:t xml:space="preserve">thor's confidence in the work done in preceding sections. </w:t>
            </w:r>
          </w:p>
          <w:p w:rsidR="006D6456" w:rsidRPr="00702354" w:rsidRDefault="006D6456" w:rsidP="00086EAF">
            <w:pPr>
              <w:spacing w:after="0" w:line="240" w:lineRule="auto"/>
              <w:rPr>
                <w:rFonts w:asciiTheme="minorHAnsi" w:hAnsiTheme="minorHAnsi" w:cstheme="minorHAnsi"/>
              </w:rPr>
            </w:pPr>
            <w:r w:rsidRPr="00702354">
              <w:rPr>
                <w:rFonts w:asciiTheme="minorHAnsi" w:hAnsiTheme="minorHAnsi" w:cstheme="minorHAnsi"/>
              </w:rPr>
              <w:t>I propose that, in Section 6, the author makes clear reference to the SA implications (which should be the main observations and contrib</w:t>
            </w:r>
            <w:r w:rsidRPr="00702354">
              <w:rPr>
                <w:rFonts w:asciiTheme="minorHAnsi" w:hAnsiTheme="minorHAnsi" w:cstheme="minorHAnsi"/>
              </w:rPr>
              <w:t>u</w:t>
            </w:r>
            <w:r w:rsidRPr="00702354">
              <w:rPr>
                <w:rFonts w:asciiTheme="minorHAnsi" w:hAnsiTheme="minorHAnsi" w:cstheme="minorHAnsi"/>
              </w:rPr>
              <w:t>tion of this article, based on the title)</w:t>
            </w:r>
          </w:p>
        </w:tc>
        <w:tc>
          <w:tcPr>
            <w:tcW w:w="0" w:type="auto"/>
            <w:shd w:val="clear" w:color="auto" w:fill="DBE5F1" w:themeFill="accent1" w:themeFillTint="33"/>
            <w:vAlign w:val="center"/>
          </w:tcPr>
          <w:p w:rsidR="006D6456" w:rsidRPr="00FE14E4" w:rsidRDefault="00D26E74" w:rsidP="0058695A">
            <w:pPr>
              <w:spacing w:after="0" w:line="240" w:lineRule="auto"/>
              <w:rPr>
                <w:rFonts w:asciiTheme="minorHAnsi" w:hAnsiTheme="minorHAnsi" w:cstheme="minorHAnsi"/>
                <w:color w:val="0000FF"/>
              </w:rPr>
            </w:pPr>
            <w:r w:rsidRPr="00FE14E4">
              <w:rPr>
                <w:rFonts w:asciiTheme="minorHAnsi" w:hAnsiTheme="minorHAnsi" w:cstheme="minorHAnsi"/>
                <w:color w:val="0000FF"/>
              </w:rPr>
              <w:t>The discussion (Section 5) and conclusion (Section 6) se</w:t>
            </w:r>
            <w:r w:rsidRPr="00FE14E4">
              <w:rPr>
                <w:rFonts w:asciiTheme="minorHAnsi" w:hAnsiTheme="minorHAnsi" w:cstheme="minorHAnsi"/>
                <w:color w:val="0000FF"/>
              </w:rPr>
              <w:t>c</w:t>
            </w:r>
            <w:r w:rsidRPr="00FE14E4">
              <w:rPr>
                <w:rFonts w:asciiTheme="minorHAnsi" w:hAnsiTheme="minorHAnsi" w:cstheme="minorHAnsi"/>
                <w:color w:val="0000FF"/>
              </w:rPr>
              <w:t xml:space="preserve">tions have now been augmented with a more </w:t>
            </w:r>
            <w:r w:rsidRPr="00FE14E4">
              <w:rPr>
                <w:rFonts w:asciiTheme="minorHAnsi" w:hAnsiTheme="minorHAnsi" w:cstheme="minorHAnsi"/>
                <w:i/>
                <w:color w:val="0000FF"/>
              </w:rPr>
              <w:t>South Afr</w:t>
            </w:r>
            <w:r w:rsidRPr="00FE14E4">
              <w:rPr>
                <w:rFonts w:asciiTheme="minorHAnsi" w:hAnsiTheme="minorHAnsi" w:cstheme="minorHAnsi"/>
                <w:i/>
                <w:color w:val="0000FF"/>
              </w:rPr>
              <w:t>i</w:t>
            </w:r>
            <w:r w:rsidRPr="00FE14E4">
              <w:rPr>
                <w:rFonts w:asciiTheme="minorHAnsi" w:hAnsiTheme="minorHAnsi" w:cstheme="minorHAnsi"/>
                <w:i/>
                <w:color w:val="0000FF"/>
              </w:rPr>
              <w:t>can</w:t>
            </w:r>
            <w:r w:rsidRPr="00FE14E4">
              <w:rPr>
                <w:rFonts w:asciiTheme="minorHAnsi" w:hAnsiTheme="minorHAnsi" w:cstheme="minorHAnsi"/>
                <w:color w:val="0000FF"/>
              </w:rPr>
              <w:t xml:space="preserve"> flavour.</w:t>
            </w:r>
            <w:r w:rsidR="0058695A">
              <w:rPr>
                <w:rFonts w:asciiTheme="minorHAnsi" w:hAnsiTheme="minorHAnsi" w:cstheme="minorHAnsi"/>
                <w:color w:val="0000FF"/>
              </w:rPr>
              <w:t xml:space="preserve"> Several new references have been added – namely the SARB report of 2011, </w:t>
            </w:r>
            <w:proofErr w:type="gramStart"/>
            <w:r w:rsidR="0058695A">
              <w:rPr>
                <w:rFonts w:asciiTheme="minorHAnsi" w:hAnsiTheme="minorHAnsi" w:cstheme="minorHAnsi"/>
                <w:color w:val="0000FF"/>
              </w:rPr>
              <w:t>Walters</w:t>
            </w:r>
            <w:proofErr w:type="gramEnd"/>
            <w:r w:rsidR="0058695A">
              <w:rPr>
                <w:rFonts w:asciiTheme="minorHAnsi" w:hAnsiTheme="minorHAnsi" w:cstheme="minorHAnsi"/>
                <w:color w:val="0000FF"/>
              </w:rPr>
              <w:t xml:space="preserve"> article of 2011 and the Ryan and </w:t>
            </w:r>
            <w:proofErr w:type="spellStart"/>
            <w:r w:rsidR="0058695A">
              <w:rPr>
                <w:rFonts w:asciiTheme="minorHAnsi" w:hAnsiTheme="minorHAnsi" w:cstheme="minorHAnsi"/>
                <w:color w:val="0000FF"/>
              </w:rPr>
              <w:t>Crutchley</w:t>
            </w:r>
            <w:proofErr w:type="spellEnd"/>
            <w:r w:rsidR="0058695A">
              <w:rPr>
                <w:rFonts w:asciiTheme="minorHAnsi" w:hAnsiTheme="minorHAnsi" w:cstheme="minorHAnsi"/>
                <w:color w:val="0000FF"/>
              </w:rPr>
              <w:t xml:space="preserve"> report of 2012.</w:t>
            </w:r>
          </w:p>
        </w:tc>
      </w:tr>
    </w:tbl>
    <w:p w:rsidR="00504378" w:rsidRDefault="00504378" w:rsidP="00086EAF">
      <w:pPr>
        <w:spacing w:after="120" w:line="240" w:lineRule="auto"/>
        <w:jc w:val="both"/>
        <w:rPr>
          <w:rFonts w:asciiTheme="minorHAnsi" w:hAnsiTheme="minorHAnsi" w:cstheme="minorHAnsi"/>
        </w:rPr>
      </w:pPr>
    </w:p>
    <w:p w:rsidR="007B4109" w:rsidRPr="00702354" w:rsidRDefault="007B4109" w:rsidP="00086EAF">
      <w:pPr>
        <w:spacing w:after="120" w:line="240" w:lineRule="auto"/>
        <w:jc w:val="both"/>
        <w:rPr>
          <w:rFonts w:asciiTheme="minorHAnsi" w:hAnsiTheme="minorHAnsi" w:cstheme="minorHAnsi"/>
        </w:rPr>
      </w:pPr>
      <w:bookmarkStart w:id="0" w:name="_GoBack"/>
      <w:bookmarkEnd w:id="0"/>
    </w:p>
    <w:sectPr w:rsidR="007B4109" w:rsidRPr="00702354" w:rsidSect="00CD78EE">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E1" w:rsidRDefault="008D30E1" w:rsidP="003B25FC">
      <w:pPr>
        <w:spacing w:after="0" w:line="240" w:lineRule="auto"/>
      </w:pPr>
      <w:r>
        <w:separator/>
      </w:r>
    </w:p>
  </w:endnote>
  <w:endnote w:type="continuationSeparator" w:id="0">
    <w:p w:rsidR="008D30E1" w:rsidRDefault="008D30E1" w:rsidP="003B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73216"/>
      <w:docPartObj>
        <w:docPartGallery w:val="Page Numbers (Bottom of Page)"/>
        <w:docPartUnique/>
      </w:docPartObj>
    </w:sdtPr>
    <w:sdtEndPr>
      <w:rPr>
        <w:noProof/>
      </w:rPr>
    </w:sdtEndPr>
    <w:sdtContent>
      <w:p w:rsidR="003B25FC" w:rsidRDefault="003B25FC">
        <w:pPr>
          <w:pStyle w:val="Footer"/>
          <w:jc w:val="center"/>
        </w:pPr>
        <w:r>
          <w:fldChar w:fldCharType="begin"/>
        </w:r>
        <w:r>
          <w:instrText xml:space="preserve"> PAGE   \* MERGEFORMAT </w:instrText>
        </w:r>
        <w:r>
          <w:fldChar w:fldCharType="separate"/>
        </w:r>
        <w:r w:rsidR="007B4109">
          <w:rPr>
            <w:noProof/>
          </w:rPr>
          <w:t>2</w:t>
        </w:r>
        <w:r>
          <w:rPr>
            <w:noProof/>
          </w:rPr>
          <w:fldChar w:fldCharType="end"/>
        </w:r>
      </w:p>
    </w:sdtContent>
  </w:sdt>
  <w:p w:rsidR="003B25FC" w:rsidRDefault="003B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E1" w:rsidRDefault="008D30E1" w:rsidP="003B25FC">
      <w:pPr>
        <w:spacing w:after="0" w:line="240" w:lineRule="auto"/>
      </w:pPr>
      <w:r>
        <w:separator/>
      </w:r>
    </w:p>
  </w:footnote>
  <w:footnote w:type="continuationSeparator" w:id="0">
    <w:p w:rsidR="008D30E1" w:rsidRDefault="008D30E1" w:rsidP="003B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1837"/>
    <w:multiLevelType w:val="hybridMultilevel"/>
    <w:tmpl w:val="36584E56"/>
    <w:lvl w:ilvl="0" w:tplc="6E0AE27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4B5F9D"/>
    <w:multiLevelType w:val="hybridMultilevel"/>
    <w:tmpl w:val="B110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D07AE"/>
    <w:multiLevelType w:val="hybridMultilevel"/>
    <w:tmpl w:val="BAB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859BB"/>
    <w:multiLevelType w:val="hybridMultilevel"/>
    <w:tmpl w:val="5B36A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88A1854"/>
    <w:multiLevelType w:val="hybridMultilevel"/>
    <w:tmpl w:val="9F2CF3CC"/>
    <w:lvl w:ilvl="0" w:tplc="6E0AE27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8B"/>
    <w:rsid w:val="000165B5"/>
    <w:rsid w:val="00046907"/>
    <w:rsid w:val="0008579E"/>
    <w:rsid w:val="00086EAF"/>
    <w:rsid w:val="000C6D78"/>
    <w:rsid w:val="000E4FF8"/>
    <w:rsid w:val="00102F4E"/>
    <w:rsid w:val="00111A0C"/>
    <w:rsid w:val="0015045F"/>
    <w:rsid w:val="0015618E"/>
    <w:rsid w:val="00166D51"/>
    <w:rsid w:val="001F6A6A"/>
    <w:rsid w:val="00250018"/>
    <w:rsid w:val="00254376"/>
    <w:rsid w:val="00255DFC"/>
    <w:rsid w:val="002622D6"/>
    <w:rsid w:val="002C12B7"/>
    <w:rsid w:val="002C5B8C"/>
    <w:rsid w:val="00347D2D"/>
    <w:rsid w:val="0036098F"/>
    <w:rsid w:val="00395BDC"/>
    <w:rsid w:val="003B25FC"/>
    <w:rsid w:val="003B29A4"/>
    <w:rsid w:val="003E4119"/>
    <w:rsid w:val="003E4737"/>
    <w:rsid w:val="00410AF8"/>
    <w:rsid w:val="00425A9D"/>
    <w:rsid w:val="004367F4"/>
    <w:rsid w:val="004A47D4"/>
    <w:rsid w:val="00503E17"/>
    <w:rsid w:val="00504378"/>
    <w:rsid w:val="00505E9B"/>
    <w:rsid w:val="00536652"/>
    <w:rsid w:val="005423AE"/>
    <w:rsid w:val="00553613"/>
    <w:rsid w:val="00562F12"/>
    <w:rsid w:val="00584020"/>
    <w:rsid w:val="0058695A"/>
    <w:rsid w:val="00590B08"/>
    <w:rsid w:val="005B1456"/>
    <w:rsid w:val="005E4F11"/>
    <w:rsid w:val="005E6F5C"/>
    <w:rsid w:val="00600B0E"/>
    <w:rsid w:val="00647E49"/>
    <w:rsid w:val="0066082E"/>
    <w:rsid w:val="00664794"/>
    <w:rsid w:val="00691C97"/>
    <w:rsid w:val="006B32D8"/>
    <w:rsid w:val="006D6456"/>
    <w:rsid w:val="006E3C11"/>
    <w:rsid w:val="006F3C6D"/>
    <w:rsid w:val="00702354"/>
    <w:rsid w:val="00720B68"/>
    <w:rsid w:val="00730748"/>
    <w:rsid w:val="00753E6E"/>
    <w:rsid w:val="007956FF"/>
    <w:rsid w:val="007A5995"/>
    <w:rsid w:val="007B4109"/>
    <w:rsid w:val="008105B1"/>
    <w:rsid w:val="00814183"/>
    <w:rsid w:val="00831612"/>
    <w:rsid w:val="00874B10"/>
    <w:rsid w:val="008A033E"/>
    <w:rsid w:val="008D30E1"/>
    <w:rsid w:val="0094646B"/>
    <w:rsid w:val="00947974"/>
    <w:rsid w:val="0096220C"/>
    <w:rsid w:val="009A6F52"/>
    <w:rsid w:val="009B369C"/>
    <w:rsid w:val="009C10B0"/>
    <w:rsid w:val="009C75FA"/>
    <w:rsid w:val="00A1005A"/>
    <w:rsid w:val="00A21802"/>
    <w:rsid w:val="00A4281E"/>
    <w:rsid w:val="00AF2AE8"/>
    <w:rsid w:val="00B021C2"/>
    <w:rsid w:val="00B36FF8"/>
    <w:rsid w:val="00B60478"/>
    <w:rsid w:val="00BA7472"/>
    <w:rsid w:val="00BB1D8E"/>
    <w:rsid w:val="00BC2532"/>
    <w:rsid w:val="00BD4C73"/>
    <w:rsid w:val="00C33D8C"/>
    <w:rsid w:val="00CD78EE"/>
    <w:rsid w:val="00CF6997"/>
    <w:rsid w:val="00D26E74"/>
    <w:rsid w:val="00D26E84"/>
    <w:rsid w:val="00D67B4C"/>
    <w:rsid w:val="00D90BD9"/>
    <w:rsid w:val="00DA2752"/>
    <w:rsid w:val="00DA6E77"/>
    <w:rsid w:val="00DA7330"/>
    <w:rsid w:val="00DD2501"/>
    <w:rsid w:val="00DD609C"/>
    <w:rsid w:val="00E3051C"/>
    <w:rsid w:val="00E44C1C"/>
    <w:rsid w:val="00E725B6"/>
    <w:rsid w:val="00E732E0"/>
    <w:rsid w:val="00E75F82"/>
    <w:rsid w:val="00E87CE3"/>
    <w:rsid w:val="00EC77E3"/>
    <w:rsid w:val="00ED2B98"/>
    <w:rsid w:val="00EF35FA"/>
    <w:rsid w:val="00F03BAD"/>
    <w:rsid w:val="00F5778B"/>
    <w:rsid w:val="00F93553"/>
    <w:rsid w:val="00F95106"/>
    <w:rsid w:val="00FD0FD7"/>
    <w:rsid w:val="00FE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FC"/>
    <w:rPr>
      <w:sz w:val="22"/>
      <w:szCs w:val="22"/>
      <w:lang w:eastAsia="en-US"/>
    </w:rPr>
  </w:style>
  <w:style w:type="paragraph" w:styleId="Footer">
    <w:name w:val="footer"/>
    <w:basedOn w:val="Normal"/>
    <w:link w:val="FooterChar"/>
    <w:uiPriority w:val="99"/>
    <w:unhideWhenUsed/>
    <w:rsid w:val="003B2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FC"/>
    <w:rPr>
      <w:sz w:val="22"/>
      <w:szCs w:val="22"/>
      <w:lang w:eastAsia="en-US"/>
    </w:rPr>
  </w:style>
  <w:style w:type="paragraph" w:styleId="FootnoteText">
    <w:name w:val="footnote text"/>
    <w:basedOn w:val="Normal"/>
    <w:link w:val="FootnoteTextChar"/>
    <w:uiPriority w:val="99"/>
    <w:semiHidden/>
    <w:rsid w:val="00DA7330"/>
    <w:pPr>
      <w:spacing w:after="0" w:line="240" w:lineRule="auto"/>
    </w:pPr>
    <w:rPr>
      <w:rFonts w:ascii="Garamond" w:eastAsia="Times New Roman" w:hAnsi="Garamond"/>
      <w:sz w:val="20"/>
      <w:szCs w:val="20"/>
    </w:rPr>
  </w:style>
  <w:style w:type="character" w:customStyle="1" w:styleId="FootnoteTextChar">
    <w:name w:val="Footnote Text Char"/>
    <w:basedOn w:val="DefaultParagraphFont"/>
    <w:link w:val="FootnoteText"/>
    <w:uiPriority w:val="99"/>
    <w:semiHidden/>
    <w:rsid w:val="00DA7330"/>
    <w:rPr>
      <w:rFonts w:ascii="Garamond" w:eastAsia="Times New Roman" w:hAnsi="Garamond"/>
      <w:lang w:eastAsia="en-US"/>
    </w:rPr>
  </w:style>
  <w:style w:type="character" w:styleId="FootnoteReference">
    <w:name w:val="footnote reference"/>
    <w:basedOn w:val="DefaultParagraphFont"/>
    <w:uiPriority w:val="99"/>
    <w:semiHidden/>
    <w:rsid w:val="00DA7330"/>
    <w:rPr>
      <w:rFonts w:cs="Times New Roman"/>
      <w:vertAlign w:val="superscript"/>
    </w:rPr>
  </w:style>
  <w:style w:type="paragraph" w:styleId="ListParagraph">
    <w:name w:val="List Paragraph"/>
    <w:basedOn w:val="Normal"/>
    <w:uiPriority w:val="34"/>
    <w:qFormat/>
    <w:rsid w:val="00DA73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5FC"/>
    <w:rPr>
      <w:sz w:val="22"/>
      <w:szCs w:val="22"/>
      <w:lang w:eastAsia="en-US"/>
    </w:rPr>
  </w:style>
  <w:style w:type="paragraph" w:styleId="Footer">
    <w:name w:val="footer"/>
    <w:basedOn w:val="Normal"/>
    <w:link w:val="FooterChar"/>
    <w:uiPriority w:val="99"/>
    <w:unhideWhenUsed/>
    <w:rsid w:val="003B2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FC"/>
    <w:rPr>
      <w:sz w:val="22"/>
      <w:szCs w:val="22"/>
      <w:lang w:eastAsia="en-US"/>
    </w:rPr>
  </w:style>
  <w:style w:type="paragraph" w:styleId="FootnoteText">
    <w:name w:val="footnote text"/>
    <w:basedOn w:val="Normal"/>
    <w:link w:val="FootnoteTextChar"/>
    <w:uiPriority w:val="99"/>
    <w:semiHidden/>
    <w:rsid w:val="00DA7330"/>
    <w:pPr>
      <w:spacing w:after="0" w:line="240" w:lineRule="auto"/>
    </w:pPr>
    <w:rPr>
      <w:rFonts w:ascii="Garamond" w:eastAsia="Times New Roman" w:hAnsi="Garamond"/>
      <w:sz w:val="20"/>
      <w:szCs w:val="20"/>
    </w:rPr>
  </w:style>
  <w:style w:type="character" w:customStyle="1" w:styleId="FootnoteTextChar">
    <w:name w:val="Footnote Text Char"/>
    <w:basedOn w:val="DefaultParagraphFont"/>
    <w:link w:val="FootnoteText"/>
    <w:uiPriority w:val="99"/>
    <w:semiHidden/>
    <w:rsid w:val="00DA7330"/>
    <w:rPr>
      <w:rFonts w:ascii="Garamond" w:eastAsia="Times New Roman" w:hAnsi="Garamond"/>
      <w:lang w:eastAsia="en-US"/>
    </w:rPr>
  </w:style>
  <w:style w:type="character" w:styleId="FootnoteReference">
    <w:name w:val="footnote reference"/>
    <w:basedOn w:val="DefaultParagraphFont"/>
    <w:uiPriority w:val="99"/>
    <w:semiHidden/>
    <w:rsid w:val="00DA7330"/>
    <w:rPr>
      <w:rFonts w:cs="Times New Roman"/>
      <w:vertAlign w:val="superscript"/>
    </w:rPr>
  </w:style>
  <w:style w:type="paragraph" w:styleId="ListParagraph">
    <w:name w:val="List Paragraph"/>
    <w:basedOn w:val="Normal"/>
    <w:uiPriority w:val="34"/>
    <w:qFormat/>
    <w:rsid w:val="00DA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van Vuuren</dc:creator>
  <cp:lastModifiedBy>Gary</cp:lastModifiedBy>
  <cp:revision>47</cp:revision>
  <dcterms:created xsi:type="dcterms:W3CDTF">2012-04-18T07:41:00Z</dcterms:created>
  <dcterms:modified xsi:type="dcterms:W3CDTF">2012-04-21T16:35:00Z</dcterms:modified>
</cp:coreProperties>
</file>