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AA" w:rsidRPr="00643993" w:rsidRDefault="00B81B75" w:rsidP="00605B22">
      <w:pPr>
        <w:jc w:val="both"/>
        <w:rPr>
          <w:rFonts w:cstheme="minorHAnsi"/>
        </w:rPr>
      </w:pPr>
      <w:bookmarkStart w:id="0" w:name="_GoBack"/>
      <w:bookmarkEnd w:id="0"/>
      <w:r w:rsidRPr="00643993">
        <w:rPr>
          <w:rFonts w:cstheme="minorHAnsi"/>
          <w:b/>
        </w:rPr>
        <w:t>RESPONSE TO REFEREE C</w:t>
      </w:r>
    </w:p>
    <w:p w:rsidR="00630522" w:rsidRPr="00643993" w:rsidRDefault="00630522" w:rsidP="00605B22">
      <w:pPr>
        <w:ind w:left="720"/>
        <w:jc w:val="both"/>
        <w:rPr>
          <w:rFonts w:cstheme="minorHAnsi"/>
        </w:rPr>
      </w:pPr>
      <w:r w:rsidRPr="00643993">
        <w:rPr>
          <w:rFonts w:cstheme="minorHAnsi"/>
          <w:noProof/>
        </w:rPr>
        <w:drawing>
          <wp:inline distT="0" distB="0" distL="0" distR="0" wp14:anchorId="11F6748C" wp14:editId="36E1CF90">
            <wp:extent cx="2047875" cy="314325"/>
            <wp:effectExtent l="19050" t="0" r="9525"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2047875" cy="314325"/>
                    </a:xfrm>
                    <a:prstGeom prst="rect">
                      <a:avLst/>
                    </a:prstGeom>
                    <a:noFill/>
                    <a:ln w="9525">
                      <a:noFill/>
                      <a:miter lim="800000"/>
                      <a:headEnd/>
                      <a:tailEnd/>
                    </a:ln>
                  </pic:spPr>
                </pic:pic>
              </a:graphicData>
            </a:graphic>
          </wp:inline>
        </w:drawing>
      </w:r>
    </w:p>
    <w:p w:rsidR="000041F5" w:rsidRPr="00643993" w:rsidRDefault="000041F5" w:rsidP="00605B22">
      <w:pPr>
        <w:jc w:val="both"/>
        <w:rPr>
          <w:rFonts w:cstheme="minorHAnsi"/>
        </w:rPr>
      </w:pPr>
      <w:r w:rsidRPr="00643993">
        <w:rPr>
          <w:rFonts w:cstheme="minorHAnsi"/>
          <w:noProof/>
        </w:rPr>
        <w:drawing>
          <wp:inline distT="0" distB="0" distL="0" distR="0" wp14:anchorId="0FE4A3B4" wp14:editId="5168E271">
            <wp:extent cx="5943600" cy="6352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635260"/>
                    </a:xfrm>
                    <a:prstGeom prst="rect">
                      <a:avLst/>
                    </a:prstGeom>
                    <a:noFill/>
                    <a:ln w="9525">
                      <a:noFill/>
                      <a:miter lim="800000"/>
                      <a:headEnd/>
                      <a:tailEnd/>
                    </a:ln>
                  </pic:spPr>
                </pic:pic>
              </a:graphicData>
            </a:graphic>
          </wp:inline>
        </w:drawing>
      </w:r>
    </w:p>
    <w:p w:rsidR="000041F5" w:rsidRPr="00643993" w:rsidRDefault="00CC449F" w:rsidP="00FE7B4B">
      <w:pPr>
        <w:spacing w:after="0" w:line="240" w:lineRule="auto"/>
        <w:jc w:val="both"/>
        <w:rPr>
          <w:rFonts w:cstheme="minorHAnsi"/>
          <w:szCs w:val="24"/>
        </w:rPr>
      </w:pPr>
      <w:r w:rsidRPr="00643993">
        <w:rPr>
          <w:rFonts w:cstheme="minorHAnsi"/>
          <w:b/>
        </w:rPr>
        <w:t>Response to Referee</w:t>
      </w:r>
      <w:r w:rsidRPr="00643993">
        <w:rPr>
          <w:rFonts w:cstheme="minorHAnsi"/>
        </w:rPr>
        <w:t xml:space="preserve">: </w:t>
      </w:r>
      <w:r w:rsidR="000041F5" w:rsidRPr="00643993">
        <w:rPr>
          <w:rFonts w:cstheme="minorHAnsi"/>
        </w:rPr>
        <w:t>We have rewritten this sentence as follows: “</w:t>
      </w:r>
      <w:r w:rsidR="0032591E" w:rsidRPr="00643993">
        <w:rPr>
          <w:rFonts w:cstheme="minorHAnsi"/>
        </w:rPr>
        <w:t xml:space="preserve">For </w:t>
      </w:r>
      <w:r w:rsidR="000041F5" w:rsidRPr="00643993">
        <w:rPr>
          <w:rFonts w:cstheme="minorHAnsi"/>
        </w:rPr>
        <w:t xml:space="preserve">South Africa </w:t>
      </w:r>
      <w:r w:rsidR="000041F5" w:rsidRPr="00643993">
        <w:rPr>
          <w:rFonts w:cstheme="minorHAnsi"/>
          <w:szCs w:val="24"/>
        </w:rPr>
        <w:t>there is a general dearth in the literature that considers the simultaneous interactions of the commodity and currency markets. This literature gap exists despite the value that reciprocal feedback between</w:t>
      </w:r>
      <w:r w:rsidR="0032591E" w:rsidRPr="00643993">
        <w:rPr>
          <w:rFonts w:cstheme="minorHAnsi"/>
          <w:szCs w:val="24"/>
        </w:rPr>
        <w:t xml:space="preserve"> the two markets may add to our </w:t>
      </w:r>
      <w:r w:rsidR="000041F5" w:rsidRPr="00643993">
        <w:rPr>
          <w:rFonts w:cstheme="minorHAnsi"/>
          <w:szCs w:val="24"/>
        </w:rPr>
        <w:t>understanding of their operations.</w:t>
      </w:r>
      <w:r w:rsidR="0032591E" w:rsidRPr="00643993">
        <w:rPr>
          <w:rFonts w:cstheme="minorHAnsi"/>
          <w:szCs w:val="24"/>
        </w:rPr>
        <w:t>”</w:t>
      </w:r>
      <w:r w:rsidR="000041F5" w:rsidRPr="00643993">
        <w:rPr>
          <w:rFonts w:cstheme="minorHAnsi"/>
          <w:szCs w:val="24"/>
        </w:rPr>
        <w:t xml:space="preserve">  </w:t>
      </w:r>
    </w:p>
    <w:p w:rsidR="0032591E" w:rsidRPr="00643993" w:rsidRDefault="0032591E" w:rsidP="00605B22">
      <w:pPr>
        <w:spacing w:after="0" w:line="240" w:lineRule="auto"/>
        <w:jc w:val="both"/>
        <w:rPr>
          <w:rFonts w:cstheme="minorHAnsi"/>
          <w:szCs w:val="24"/>
        </w:rPr>
      </w:pPr>
    </w:p>
    <w:p w:rsidR="0032591E" w:rsidRPr="00643993" w:rsidRDefault="004B6518" w:rsidP="00605B22">
      <w:pPr>
        <w:spacing w:after="0" w:line="240" w:lineRule="auto"/>
        <w:jc w:val="both"/>
        <w:rPr>
          <w:rFonts w:cstheme="minorHAnsi"/>
          <w:szCs w:val="24"/>
        </w:rPr>
      </w:pPr>
      <w:r w:rsidRPr="00643993">
        <w:rPr>
          <w:rFonts w:cstheme="minorHAnsi"/>
          <w:noProof/>
          <w:szCs w:val="24"/>
        </w:rPr>
        <w:drawing>
          <wp:inline distT="0" distB="0" distL="0" distR="0" wp14:anchorId="3FC3EFC7" wp14:editId="5AD28041">
            <wp:extent cx="5943600" cy="49317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493174"/>
                    </a:xfrm>
                    <a:prstGeom prst="rect">
                      <a:avLst/>
                    </a:prstGeom>
                    <a:noFill/>
                    <a:ln w="9525">
                      <a:noFill/>
                      <a:miter lim="800000"/>
                      <a:headEnd/>
                      <a:tailEnd/>
                    </a:ln>
                  </pic:spPr>
                </pic:pic>
              </a:graphicData>
            </a:graphic>
          </wp:inline>
        </w:drawing>
      </w:r>
    </w:p>
    <w:p w:rsidR="003D1867" w:rsidRPr="00643993" w:rsidRDefault="003D1867" w:rsidP="00605B22">
      <w:pPr>
        <w:spacing w:after="0" w:line="240" w:lineRule="auto"/>
        <w:jc w:val="both"/>
        <w:rPr>
          <w:rFonts w:cstheme="minorHAnsi"/>
          <w:szCs w:val="24"/>
        </w:rPr>
      </w:pPr>
    </w:p>
    <w:p w:rsidR="004B6518" w:rsidRPr="00643993" w:rsidRDefault="00CC449F" w:rsidP="00FE7B4B">
      <w:pPr>
        <w:spacing w:after="0" w:line="240" w:lineRule="auto"/>
        <w:jc w:val="both"/>
        <w:rPr>
          <w:rFonts w:cstheme="minorHAnsi"/>
          <w:szCs w:val="24"/>
        </w:rPr>
      </w:pPr>
      <w:r w:rsidRPr="00643993">
        <w:rPr>
          <w:rFonts w:cstheme="minorHAnsi"/>
          <w:b/>
          <w:szCs w:val="24"/>
        </w:rPr>
        <w:t>Response to Referee</w:t>
      </w:r>
      <w:r w:rsidRPr="00643993">
        <w:rPr>
          <w:rFonts w:cstheme="minorHAnsi"/>
          <w:szCs w:val="24"/>
        </w:rPr>
        <w:t xml:space="preserve">: We have </w:t>
      </w:r>
      <w:r w:rsidR="00B81B75" w:rsidRPr="00643993">
        <w:rPr>
          <w:rFonts w:cstheme="minorHAnsi"/>
          <w:szCs w:val="24"/>
        </w:rPr>
        <w:t>updated footnote 2</w:t>
      </w:r>
      <w:r w:rsidR="000E263C" w:rsidRPr="00643993">
        <w:rPr>
          <w:rFonts w:cstheme="minorHAnsi"/>
          <w:szCs w:val="24"/>
        </w:rPr>
        <w:t>. We now say: “</w:t>
      </w:r>
      <w:r w:rsidR="00B81B75" w:rsidRPr="00643993">
        <w:rPr>
          <w:rFonts w:cstheme="minorHAnsi"/>
          <w:szCs w:val="24"/>
        </w:rPr>
        <w:t>E.g. Ndlovu, X (2010</w:t>
      </w:r>
      <w:r w:rsidR="000E263C" w:rsidRPr="00643993">
        <w:rPr>
          <w:rFonts w:cstheme="minorHAnsi"/>
          <w:szCs w:val="24"/>
        </w:rPr>
        <w:t xml:space="preserve">) shows that commodity exports excluding precious metals constituted 42.9% of South African total exports in 2010. See also </w:t>
      </w:r>
      <w:proofErr w:type="spellStart"/>
      <w:r w:rsidR="000E263C" w:rsidRPr="00643993">
        <w:rPr>
          <w:rFonts w:cstheme="minorHAnsi"/>
          <w:szCs w:val="24"/>
        </w:rPr>
        <w:t>Bodart</w:t>
      </w:r>
      <w:proofErr w:type="spellEnd"/>
      <w:r w:rsidR="000E263C" w:rsidRPr="00643993">
        <w:rPr>
          <w:rFonts w:cstheme="minorHAnsi"/>
          <w:szCs w:val="24"/>
        </w:rPr>
        <w:t xml:space="preserve">, </w:t>
      </w:r>
      <w:proofErr w:type="spellStart"/>
      <w:r w:rsidR="000E263C" w:rsidRPr="00643993">
        <w:rPr>
          <w:rFonts w:cstheme="minorHAnsi"/>
          <w:szCs w:val="24"/>
        </w:rPr>
        <w:t>Candelon</w:t>
      </w:r>
      <w:proofErr w:type="spellEnd"/>
      <w:r w:rsidR="000E263C" w:rsidRPr="00643993">
        <w:rPr>
          <w:rFonts w:cstheme="minorHAnsi"/>
          <w:szCs w:val="24"/>
        </w:rPr>
        <w:t xml:space="preserve"> and </w:t>
      </w:r>
      <w:proofErr w:type="spellStart"/>
      <w:r w:rsidR="000E263C" w:rsidRPr="00643993">
        <w:rPr>
          <w:rFonts w:cstheme="minorHAnsi"/>
          <w:szCs w:val="24"/>
        </w:rPr>
        <w:t>Carpantier</w:t>
      </w:r>
      <w:proofErr w:type="spellEnd"/>
      <w:r w:rsidR="000E263C" w:rsidRPr="00643993">
        <w:rPr>
          <w:rFonts w:cstheme="minorHAnsi"/>
          <w:szCs w:val="24"/>
        </w:rPr>
        <w:t xml:space="preserve"> (2012). </w:t>
      </w:r>
      <w:proofErr w:type="spellStart"/>
      <w:r w:rsidR="000E263C" w:rsidRPr="00643993">
        <w:rPr>
          <w:rFonts w:cstheme="minorHAnsi"/>
          <w:szCs w:val="24"/>
        </w:rPr>
        <w:t>Cashin</w:t>
      </w:r>
      <w:proofErr w:type="spellEnd"/>
      <w:r w:rsidR="000E263C" w:rsidRPr="00643993">
        <w:rPr>
          <w:rFonts w:cstheme="minorHAnsi"/>
          <w:szCs w:val="24"/>
        </w:rPr>
        <w:t xml:space="preserve"> </w:t>
      </w:r>
      <w:proofErr w:type="spellStart"/>
      <w:r w:rsidR="000E263C" w:rsidRPr="00643993">
        <w:rPr>
          <w:rFonts w:cstheme="minorHAnsi"/>
          <w:szCs w:val="24"/>
        </w:rPr>
        <w:t>Cespedes</w:t>
      </w:r>
      <w:proofErr w:type="spellEnd"/>
      <w:r w:rsidR="000E263C" w:rsidRPr="00643993">
        <w:rPr>
          <w:rFonts w:cstheme="minorHAnsi"/>
          <w:szCs w:val="24"/>
        </w:rPr>
        <w:t xml:space="preserve"> and </w:t>
      </w:r>
      <w:proofErr w:type="spellStart"/>
      <w:r w:rsidR="000E263C" w:rsidRPr="00643993">
        <w:rPr>
          <w:rFonts w:cstheme="minorHAnsi"/>
          <w:szCs w:val="24"/>
        </w:rPr>
        <w:t>Sahay</w:t>
      </w:r>
      <w:proofErr w:type="spellEnd"/>
      <w:r w:rsidR="000E263C" w:rsidRPr="00643993">
        <w:rPr>
          <w:rFonts w:cstheme="minorHAnsi"/>
          <w:szCs w:val="24"/>
        </w:rPr>
        <w:t xml:space="preserve"> (2004) report that gold, coal and iron contributed 46%, 20% and 5% respectively to total exports for South Africa in the period 1991-99.”</w:t>
      </w:r>
    </w:p>
    <w:p w:rsidR="0055491E" w:rsidRPr="00643993" w:rsidRDefault="0055491E" w:rsidP="00605B22">
      <w:pPr>
        <w:spacing w:after="0" w:line="240" w:lineRule="auto"/>
        <w:jc w:val="both"/>
        <w:rPr>
          <w:rFonts w:cstheme="minorHAnsi"/>
          <w:szCs w:val="24"/>
        </w:rPr>
      </w:pPr>
    </w:p>
    <w:p w:rsidR="0055491E" w:rsidRPr="00643993" w:rsidRDefault="0055491E" w:rsidP="00605B22">
      <w:pPr>
        <w:spacing w:after="0" w:line="240" w:lineRule="auto"/>
        <w:jc w:val="both"/>
        <w:rPr>
          <w:rFonts w:cstheme="minorHAnsi"/>
          <w:szCs w:val="24"/>
        </w:rPr>
      </w:pPr>
      <w:r w:rsidRPr="00643993">
        <w:rPr>
          <w:rFonts w:cstheme="minorHAnsi"/>
          <w:noProof/>
          <w:szCs w:val="24"/>
        </w:rPr>
        <w:drawing>
          <wp:inline distT="0" distB="0" distL="0" distR="0" wp14:anchorId="588F2B15" wp14:editId="0774ACEF">
            <wp:extent cx="5943600" cy="63532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635322"/>
                    </a:xfrm>
                    <a:prstGeom prst="rect">
                      <a:avLst/>
                    </a:prstGeom>
                    <a:noFill/>
                    <a:ln w="9525">
                      <a:noFill/>
                      <a:miter lim="800000"/>
                      <a:headEnd/>
                      <a:tailEnd/>
                    </a:ln>
                  </pic:spPr>
                </pic:pic>
              </a:graphicData>
            </a:graphic>
          </wp:inline>
        </w:drawing>
      </w:r>
    </w:p>
    <w:p w:rsidR="00811C12" w:rsidRPr="00643993" w:rsidRDefault="00811C12" w:rsidP="00605B22">
      <w:pPr>
        <w:spacing w:after="0" w:line="240" w:lineRule="auto"/>
        <w:jc w:val="both"/>
        <w:rPr>
          <w:rFonts w:cstheme="minorHAnsi"/>
          <w:szCs w:val="24"/>
        </w:rPr>
      </w:pPr>
    </w:p>
    <w:p w:rsidR="00811C12" w:rsidRPr="00643993" w:rsidRDefault="00CC449F" w:rsidP="00FE7B4B">
      <w:pPr>
        <w:spacing w:after="0" w:line="240" w:lineRule="auto"/>
        <w:jc w:val="both"/>
        <w:rPr>
          <w:rFonts w:cstheme="minorHAnsi"/>
          <w:szCs w:val="24"/>
        </w:rPr>
      </w:pPr>
      <w:r w:rsidRPr="00643993">
        <w:rPr>
          <w:rFonts w:cstheme="minorHAnsi"/>
          <w:b/>
          <w:szCs w:val="24"/>
        </w:rPr>
        <w:t>Response to Referee:</w:t>
      </w:r>
      <w:r w:rsidRPr="00643993">
        <w:rPr>
          <w:rFonts w:cstheme="minorHAnsi"/>
          <w:szCs w:val="24"/>
        </w:rPr>
        <w:t xml:space="preserve"> </w:t>
      </w:r>
      <w:r w:rsidR="000E263C" w:rsidRPr="00643993">
        <w:rPr>
          <w:rFonts w:cstheme="minorHAnsi"/>
          <w:szCs w:val="24"/>
        </w:rPr>
        <w:t xml:space="preserve">We have now included some additional text </w:t>
      </w:r>
      <w:r w:rsidR="00186506" w:rsidRPr="00643993">
        <w:rPr>
          <w:rFonts w:cstheme="minorHAnsi"/>
          <w:szCs w:val="24"/>
        </w:rPr>
        <w:t xml:space="preserve">(footnote 5) </w:t>
      </w:r>
      <w:r w:rsidR="000E263C" w:rsidRPr="00643993">
        <w:rPr>
          <w:rFonts w:cstheme="minorHAnsi"/>
          <w:szCs w:val="24"/>
        </w:rPr>
        <w:t>which says: “</w:t>
      </w:r>
      <w:r w:rsidR="00186506" w:rsidRPr="00643993">
        <w:rPr>
          <w:rFonts w:cstheme="minorHAnsi"/>
          <w:szCs w:val="24"/>
        </w:rPr>
        <w:t xml:space="preserve">The study’s intention is </w:t>
      </w:r>
      <w:r w:rsidR="000E263C" w:rsidRPr="00643993">
        <w:rPr>
          <w:rFonts w:cstheme="minorHAnsi"/>
          <w:szCs w:val="24"/>
        </w:rPr>
        <w:t xml:space="preserve">to capture the effect of speculative bubbles in the two asset markets. We find that there has been some work already done on the Rand and commodity prices, employing real variables. Examples include </w:t>
      </w:r>
      <w:proofErr w:type="spellStart"/>
      <w:r w:rsidR="000E263C" w:rsidRPr="00643993">
        <w:rPr>
          <w:rFonts w:cstheme="minorHAnsi"/>
          <w:szCs w:val="24"/>
        </w:rPr>
        <w:t>Cashin</w:t>
      </w:r>
      <w:proofErr w:type="spellEnd"/>
      <w:r w:rsidR="000E263C" w:rsidRPr="00643993">
        <w:rPr>
          <w:rFonts w:cstheme="minorHAnsi"/>
          <w:szCs w:val="24"/>
        </w:rPr>
        <w:t xml:space="preserve">, </w:t>
      </w:r>
      <w:proofErr w:type="spellStart"/>
      <w:r w:rsidR="000E263C" w:rsidRPr="00643993">
        <w:rPr>
          <w:rFonts w:cstheme="minorHAnsi"/>
          <w:szCs w:val="24"/>
        </w:rPr>
        <w:t>Cespedes</w:t>
      </w:r>
      <w:proofErr w:type="spellEnd"/>
      <w:r w:rsidR="000E263C" w:rsidRPr="00643993">
        <w:rPr>
          <w:rFonts w:cstheme="minorHAnsi"/>
          <w:szCs w:val="24"/>
        </w:rPr>
        <w:t xml:space="preserve"> and </w:t>
      </w:r>
      <w:proofErr w:type="spellStart"/>
      <w:r w:rsidR="000E263C" w:rsidRPr="00643993">
        <w:rPr>
          <w:rFonts w:cstheme="minorHAnsi"/>
          <w:szCs w:val="24"/>
        </w:rPr>
        <w:t>Sahay</w:t>
      </w:r>
      <w:proofErr w:type="spellEnd"/>
      <w:r w:rsidR="000E263C" w:rsidRPr="00643993">
        <w:rPr>
          <w:rFonts w:cstheme="minorHAnsi"/>
          <w:szCs w:val="24"/>
        </w:rPr>
        <w:t xml:space="preserve"> (2003) and MacDonald and Ricci (2002).”</w:t>
      </w:r>
    </w:p>
    <w:p w:rsidR="000E263C" w:rsidRPr="00643993" w:rsidRDefault="000E263C" w:rsidP="00605B22">
      <w:pPr>
        <w:spacing w:after="0" w:line="240" w:lineRule="auto"/>
        <w:jc w:val="both"/>
        <w:rPr>
          <w:rFonts w:cstheme="minorHAnsi"/>
          <w:szCs w:val="24"/>
        </w:rPr>
      </w:pPr>
    </w:p>
    <w:p w:rsidR="000041F5" w:rsidRPr="00643993" w:rsidRDefault="00D63F8C" w:rsidP="00605B22">
      <w:pPr>
        <w:jc w:val="both"/>
        <w:rPr>
          <w:rFonts w:cstheme="minorHAnsi"/>
        </w:rPr>
      </w:pPr>
      <w:r w:rsidRPr="00643993">
        <w:rPr>
          <w:rFonts w:cstheme="minorHAnsi"/>
          <w:noProof/>
        </w:rPr>
        <w:drawing>
          <wp:inline distT="0" distB="0" distL="0" distR="0" wp14:anchorId="221AFA4F" wp14:editId="000165FF">
            <wp:extent cx="5514975" cy="752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514975" cy="752475"/>
                    </a:xfrm>
                    <a:prstGeom prst="rect">
                      <a:avLst/>
                    </a:prstGeom>
                    <a:noFill/>
                    <a:ln w="9525">
                      <a:noFill/>
                      <a:miter lim="800000"/>
                      <a:headEnd/>
                      <a:tailEnd/>
                    </a:ln>
                  </pic:spPr>
                </pic:pic>
              </a:graphicData>
            </a:graphic>
          </wp:inline>
        </w:drawing>
      </w:r>
    </w:p>
    <w:p w:rsidR="00D63F8C" w:rsidRPr="00643993" w:rsidRDefault="00CC449F" w:rsidP="00FE7B4B">
      <w:pPr>
        <w:jc w:val="both"/>
        <w:rPr>
          <w:rFonts w:cstheme="minorHAnsi"/>
        </w:rPr>
      </w:pPr>
      <w:r w:rsidRPr="00643993">
        <w:rPr>
          <w:rFonts w:cstheme="minorHAnsi"/>
          <w:b/>
        </w:rPr>
        <w:t>Response to Referee:</w:t>
      </w:r>
      <w:r w:rsidRPr="00643993">
        <w:rPr>
          <w:rFonts w:cstheme="minorHAnsi"/>
        </w:rPr>
        <w:t xml:space="preserve"> </w:t>
      </w:r>
      <w:r w:rsidR="002C62AA" w:rsidRPr="00643993">
        <w:rPr>
          <w:rFonts w:cstheme="minorHAnsi"/>
        </w:rPr>
        <w:t xml:space="preserve">We have </w:t>
      </w:r>
      <w:r w:rsidR="00D63F8C" w:rsidRPr="00643993">
        <w:rPr>
          <w:rFonts w:cstheme="minorHAnsi"/>
        </w:rPr>
        <w:t>reformulate</w:t>
      </w:r>
      <w:r w:rsidR="002C62AA" w:rsidRPr="00643993">
        <w:rPr>
          <w:rFonts w:cstheme="minorHAnsi"/>
        </w:rPr>
        <w:t>d</w:t>
      </w:r>
      <w:r w:rsidR="00D63F8C" w:rsidRPr="00643993">
        <w:rPr>
          <w:rFonts w:cstheme="minorHAnsi"/>
        </w:rPr>
        <w:t xml:space="preserve"> this paragraph and </w:t>
      </w:r>
      <w:r w:rsidR="002C62AA" w:rsidRPr="00643993">
        <w:rPr>
          <w:rFonts w:cstheme="minorHAnsi"/>
        </w:rPr>
        <w:t xml:space="preserve">now </w:t>
      </w:r>
      <w:r w:rsidR="00D63F8C" w:rsidRPr="00643993">
        <w:rPr>
          <w:rFonts w:cstheme="minorHAnsi"/>
        </w:rPr>
        <w:t xml:space="preserve">say: “In comparison, the relationship between the two asset markets is significantly weaker in South Africa than in other </w:t>
      </w:r>
      <w:r w:rsidR="00A73E33" w:rsidRPr="00643993">
        <w:rPr>
          <w:rFonts w:cstheme="minorHAnsi"/>
        </w:rPr>
        <w:t xml:space="preserve">commodity producers, such as Australia. </w:t>
      </w:r>
      <w:r w:rsidR="002C62AA" w:rsidRPr="00643993">
        <w:rPr>
          <w:rFonts w:cstheme="minorHAnsi"/>
        </w:rPr>
        <w:t>More specific</w:t>
      </w:r>
      <w:r w:rsidR="00E43836" w:rsidRPr="00643993">
        <w:rPr>
          <w:rFonts w:cstheme="minorHAnsi"/>
        </w:rPr>
        <w:t xml:space="preserve">, </w:t>
      </w:r>
      <w:r w:rsidR="00A73E33" w:rsidRPr="00643993">
        <w:rPr>
          <w:rFonts w:cstheme="minorHAnsi"/>
        </w:rPr>
        <w:t xml:space="preserve">we find that a 1 percent rise in nominal </w:t>
      </w:r>
      <w:r w:rsidR="00A73E33" w:rsidRPr="00643993">
        <w:rPr>
          <w:rFonts w:cstheme="minorHAnsi"/>
        </w:rPr>
        <w:lastRenderedPageBreak/>
        <w:t>commodity prices is associated with a 0.3 percent appreciation of the nominal exchange rate compared to</w:t>
      </w:r>
      <w:r w:rsidR="002C62AA" w:rsidRPr="00643993">
        <w:rPr>
          <w:rFonts w:cstheme="minorHAnsi"/>
        </w:rPr>
        <w:t xml:space="preserve"> 0.9 percent for the Australian </w:t>
      </w:r>
      <w:r w:rsidR="00A73E33" w:rsidRPr="00643993">
        <w:rPr>
          <w:rFonts w:cstheme="minorHAnsi"/>
        </w:rPr>
        <w:t xml:space="preserve">Dollar </w:t>
      </w:r>
      <w:r w:rsidR="002C62AA" w:rsidRPr="00643993">
        <w:rPr>
          <w:rFonts w:cstheme="minorHAnsi"/>
        </w:rPr>
        <w:t>found by Simpson (2002).</w:t>
      </w:r>
      <w:r w:rsidR="002C62AA" w:rsidRPr="00643993">
        <w:rPr>
          <w:rStyle w:val="FootnoteReference"/>
          <w:rFonts w:cstheme="minorHAnsi"/>
        </w:rPr>
        <w:footnoteReference w:id="1"/>
      </w:r>
      <w:r w:rsidR="002C62AA" w:rsidRPr="00643993">
        <w:rPr>
          <w:rFonts w:cstheme="minorHAnsi"/>
        </w:rPr>
        <w:t xml:space="preserve"> </w:t>
      </w:r>
    </w:p>
    <w:p w:rsidR="002C62AA" w:rsidRPr="00643993" w:rsidRDefault="002C62AA" w:rsidP="00605B22">
      <w:pPr>
        <w:jc w:val="both"/>
        <w:rPr>
          <w:rFonts w:cstheme="minorHAnsi"/>
        </w:rPr>
      </w:pPr>
      <w:r w:rsidRPr="00643993">
        <w:rPr>
          <w:rFonts w:cstheme="minorHAnsi"/>
          <w:noProof/>
        </w:rPr>
        <w:drawing>
          <wp:inline distT="0" distB="0" distL="0" distR="0" wp14:anchorId="50B28B14" wp14:editId="6C8E54E2">
            <wp:extent cx="5362575"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62575" cy="361950"/>
                    </a:xfrm>
                    <a:prstGeom prst="rect">
                      <a:avLst/>
                    </a:prstGeom>
                    <a:noFill/>
                    <a:ln w="9525">
                      <a:noFill/>
                      <a:miter lim="800000"/>
                      <a:headEnd/>
                      <a:tailEnd/>
                    </a:ln>
                  </pic:spPr>
                </pic:pic>
              </a:graphicData>
            </a:graphic>
          </wp:inline>
        </w:drawing>
      </w:r>
    </w:p>
    <w:p w:rsidR="002C62AA" w:rsidRPr="00643993" w:rsidRDefault="00CC449F" w:rsidP="00605B22">
      <w:pPr>
        <w:jc w:val="both"/>
        <w:rPr>
          <w:rFonts w:cstheme="minorHAnsi"/>
        </w:rPr>
      </w:pPr>
      <w:r w:rsidRPr="00643993">
        <w:rPr>
          <w:rFonts w:cstheme="minorHAnsi"/>
          <w:b/>
        </w:rPr>
        <w:t>Response to Referee:</w:t>
      </w:r>
      <w:r w:rsidRPr="00643993">
        <w:rPr>
          <w:rFonts w:cstheme="minorHAnsi"/>
        </w:rPr>
        <w:t xml:space="preserve"> </w:t>
      </w:r>
      <w:r w:rsidR="002C62AA" w:rsidRPr="00643993">
        <w:rPr>
          <w:rFonts w:cstheme="minorHAnsi"/>
        </w:rPr>
        <w:t xml:space="preserve">Done. </w:t>
      </w:r>
    </w:p>
    <w:p w:rsidR="00A94A56" w:rsidRPr="00643993" w:rsidRDefault="00A94A56" w:rsidP="00605B22">
      <w:pPr>
        <w:jc w:val="both"/>
        <w:rPr>
          <w:rFonts w:cstheme="minorHAnsi"/>
        </w:rPr>
      </w:pPr>
      <w:r w:rsidRPr="00643993">
        <w:rPr>
          <w:rFonts w:cstheme="minorHAnsi"/>
          <w:noProof/>
        </w:rPr>
        <w:drawing>
          <wp:inline distT="0" distB="0" distL="0" distR="0" wp14:anchorId="2B5B48E8" wp14:editId="6808A7D9">
            <wp:extent cx="5943600" cy="43867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43600" cy="438674"/>
                    </a:xfrm>
                    <a:prstGeom prst="rect">
                      <a:avLst/>
                    </a:prstGeom>
                    <a:noFill/>
                    <a:ln w="9525">
                      <a:noFill/>
                      <a:miter lim="800000"/>
                      <a:headEnd/>
                      <a:tailEnd/>
                    </a:ln>
                  </pic:spPr>
                </pic:pic>
              </a:graphicData>
            </a:graphic>
          </wp:inline>
        </w:drawing>
      </w:r>
    </w:p>
    <w:p w:rsidR="00A94A56" w:rsidRPr="00643993" w:rsidRDefault="00CC449F" w:rsidP="00FE7B4B">
      <w:pPr>
        <w:jc w:val="both"/>
        <w:rPr>
          <w:rFonts w:cstheme="minorHAnsi"/>
          <w:szCs w:val="24"/>
        </w:rPr>
      </w:pPr>
      <w:r w:rsidRPr="00643993">
        <w:rPr>
          <w:rFonts w:cstheme="minorHAnsi"/>
          <w:b/>
        </w:rPr>
        <w:t>Response to Referee:</w:t>
      </w:r>
      <w:r w:rsidRPr="00643993">
        <w:rPr>
          <w:rFonts w:cstheme="minorHAnsi"/>
        </w:rPr>
        <w:t xml:space="preserve"> </w:t>
      </w:r>
      <w:r w:rsidR="00A94A56" w:rsidRPr="00643993">
        <w:rPr>
          <w:rFonts w:cstheme="minorHAnsi"/>
        </w:rPr>
        <w:t>The text has been rewritten and now says: “</w:t>
      </w:r>
      <w:r w:rsidR="00A94A56" w:rsidRPr="00643993">
        <w:rPr>
          <w:rFonts w:cstheme="minorHAnsi"/>
          <w:szCs w:val="24"/>
        </w:rPr>
        <w:t xml:space="preserve">Clements and Fry (2006) employ the </w:t>
      </w:r>
      <w:proofErr w:type="spellStart"/>
      <w:r w:rsidR="00A94A56" w:rsidRPr="00643993">
        <w:rPr>
          <w:rFonts w:cstheme="minorHAnsi"/>
          <w:szCs w:val="24"/>
        </w:rPr>
        <w:t>Kalman</w:t>
      </w:r>
      <w:proofErr w:type="spellEnd"/>
      <w:r w:rsidR="00A94A56" w:rsidRPr="00643993">
        <w:rPr>
          <w:rFonts w:cstheme="minorHAnsi"/>
          <w:szCs w:val="24"/>
        </w:rPr>
        <w:t xml:space="preserve"> filter to jointly estimate the determinants of the prices of the Australian, New Zealand, Canadian Dollar exchange rates and commodity prices.”</w:t>
      </w:r>
    </w:p>
    <w:p w:rsidR="00A94A56" w:rsidRPr="00643993" w:rsidRDefault="00F376C3" w:rsidP="00605B22">
      <w:pPr>
        <w:jc w:val="both"/>
        <w:rPr>
          <w:rFonts w:cstheme="minorHAnsi"/>
          <w:szCs w:val="24"/>
        </w:rPr>
      </w:pPr>
      <w:r w:rsidRPr="00643993">
        <w:rPr>
          <w:rFonts w:cstheme="minorHAnsi"/>
          <w:noProof/>
          <w:szCs w:val="24"/>
        </w:rPr>
        <w:drawing>
          <wp:inline distT="0" distB="0" distL="0" distR="0" wp14:anchorId="2F1C192F" wp14:editId="63FEE262">
            <wp:extent cx="5943600" cy="410493"/>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43600" cy="410493"/>
                    </a:xfrm>
                    <a:prstGeom prst="rect">
                      <a:avLst/>
                    </a:prstGeom>
                    <a:noFill/>
                    <a:ln w="9525">
                      <a:noFill/>
                      <a:miter lim="800000"/>
                      <a:headEnd/>
                      <a:tailEnd/>
                    </a:ln>
                  </pic:spPr>
                </pic:pic>
              </a:graphicData>
            </a:graphic>
          </wp:inline>
        </w:drawing>
      </w:r>
    </w:p>
    <w:p w:rsidR="00F376C3" w:rsidRPr="00643993" w:rsidRDefault="00CC449F" w:rsidP="00605B22">
      <w:pPr>
        <w:jc w:val="both"/>
        <w:rPr>
          <w:rFonts w:cstheme="minorHAnsi"/>
        </w:rPr>
      </w:pPr>
      <w:r w:rsidRPr="00643993">
        <w:rPr>
          <w:rFonts w:cstheme="minorHAnsi"/>
          <w:b/>
        </w:rPr>
        <w:t>Response to Referee:</w:t>
      </w:r>
      <w:r w:rsidRPr="00643993">
        <w:rPr>
          <w:rFonts w:cstheme="minorHAnsi"/>
        </w:rPr>
        <w:t xml:space="preserve"> </w:t>
      </w:r>
      <w:r w:rsidR="00F376C3" w:rsidRPr="00643993">
        <w:rPr>
          <w:rFonts w:cstheme="minorHAnsi"/>
        </w:rPr>
        <w:t>We have rewritten this footnote as”</w:t>
      </w:r>
      <w:r w:rsidR="005009A6" w:rsidRPr="00643993">
        <w:rPr>
          <w:rFonts w:cstheme="minorHAnsi"/>
        </w:rPr>
        <w:t xml:space="preserve"> This is the VAR methodology used by Simpson (2002).”</w:t>
      </w:r>
    </w:p>
    <w:p w:rsidR="005009A6" w:rsidRPr="00643993" w:rsidRDefault="002A3D0D" w:rsidP="00605B22">
      <w:pPr>
        <w:jc w:val="both"/>
        <w:rPr>
          <w:rFonts w:cstheme="minorHAnsi"/>
        </w:rPr>
      </w:pPr>
      <w:r w:rsidRPr="00643993">
        <w:rPr>
          <w:rFonts w:cstheme="minorHAnsi"/>
          <w:noProof/>
        </w:rPr>
        <w:drawing>
          <wp:inline distT="0" distB="0" distL="0" distR="0" wp14:anchorId="443FC04A" wp14:editId="5CC0A5EE">
            <wp:extent cx="5943600" cy="88946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943600" cy="889462"/>
                    </a:xfrm>
                    <a:prstGeom prst="rect">
                      <a:avLst/>
                    </a:prstGeom>
                    <a:noFill/>
                    <a:ln w="9525">
                      <a:noFill/>
                      <a:miter lim="800000"/>
                      <a:headEnd/>
                      <a:tailEnd/>
                    </a:ln>
                  </pic:spPr>
                </pic:pic>
              </a:graphicData>
            </a:graphic>
          </wp:inline>
        </w:drawing>
      </w:r>
    </w:p>
    <w:p w:rsidR="002A3D0D" w:rsidRPr="00643993" w:rsidRDefault="00CC449F" w:rsidP="00FE7B4B">
      <w:pPr>
        <w:jc w:val="both"/>
        <w:rPr>
          <w:rFonts w:cstheme="minorHAnsi"/>
        </w:rPr>
      </w:pPr>
      <w:r w:rsidRPr="00643993">
        <w:rPr>
          <w:rFonts w:cstheme="minorHAnsi"/>
          <w:b/>
        </w:rPr>
        <w:t xml:space="preserve">Response to Referee: </w:t>
      </w:r>
      <w:r w:rsidR="002A3D0D" w:rsidRPr="00643993">
        <w:rPr>
          <w:rFonts w:cstheme="minorHAnsi"/>
        </w:rPr>
        <w:t xml:space="preserve">We have deleted this paragraph. </w:t>
      </w:r>
    </w:p>
    <w:p w:rsidR="008524EA" w:rsidRPr="00643993" w:rsidRDefault="008524EA" w:rsidP="00605B22">
      <w:pPr>
        <w:ind w:firstLine="720"/>
        <w:jc w:val="both"/>
        <w:rPr>
          <w:rFonts w:cstheme="minorHAnsi"/>
        </w:rPr>
      </w:pPr>
      <w:r w:rsidRPr="00643993">
        <w:rPr>
          <w:rFonts w:cstheme="minorHAnsi"/>
          <w:noProof/>
        </w:rPr>
        <w:drawing>
          <wp:inline distT="0" distB="0" distL="0" distR="0" wp14:anchorId="65AA8D80" wp14:editId="5B0352DF">
            <wp:extent cx="5943600" cy="1275451"/>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1275451"/>
                    </a:xfrm>
                    <a:prstGeom prst="rect">
                      <a:avLst/>
                    </a:prstGeom>
                    <a:noFill/>
                    <a:ln w="9525">
                      <a:noFill/>
                      <a:miter lim="800000"/>
                      <a:headEnd/>
                      <a:tailEnd/>
                    </a:ln>
                  </pic:spPr>
                </pic:pic>
              </a:graphicData>
            </a:graphic>
          </wp:inline>
        </w:drawing>
      </w:r>
    </w:p>
    <w:p w:rsidR="008524EA" w:rsidRPr="00643993" w:rsidRDefault="00CC449F" w:rsidP="00FE7B4B">
      <w:pPr>
        <w:jc w:val="both"/>
        <w:rPr>
          <w:rFonts w:cstheme="minorHAnsi"/>
        </w:rPr>
      </w:pPr>
      <w:r w:rsidRPr="00643993">
        <w:rPr>
          <w:rFonts w:cstheme="minorHAnsi"/>
          <w:b/>
        </w:rPr>
        <w:t>Response to Referee:</w:t>
      </w:r>
      <w:r w:rsidRPr="00643993">
        <w:rPr>
          <w:rFonts w:cstheme="minorHAnsi"/>
        </w:rPr>
        <w:t xml:space="preserve"> </w:t>
      </w:r>
      <w:r w:rsidR="008524EA" w:rsidRPr="00643993">
        <w:rPr>
          <w:rFonts w:cstheme="minorHAnsi"/>
        </w:rPr>
        <w:t>We</w:t>
      </w:r>
      <w:r w:rsidR="00EE4092" w:rsidRPr="00643993">
        <w:rPr>
          <w:rFonts w:cstheme="minorHAnsi"/>
        </w:rPr>
        <w:t xml:space="preserve"> have incorporated these papers. </w:t>
      </w:r>
    </w:p>
    <w:p w:rsidR="002A3D0D" w:rsidRPr="00643993" w:rsidRDefault="002A3D0D" w:rsidP="00605B22">
      <w:pPr>
        <w:jc w:val="both"/>
        <w:rPr>
          <w:rFonts w:cstheme="minorHAnsi"/>
        </w:rPr>
      </w:pPr>
      <w:r w:rsidRPr="00643993">
        <w:rPr>
          <w:rFonts w:cstheme="minorHAnsi"/>
          <w:noProof/>
        </w:rPr>
        <w:drawing>
          <wp:inline distT="0" distB="0" distL="0" distR="0" wp14:anchorId="298F1A04" wp14:editId="71E5DF98">
            <wp:extent cx="4143375" cy="3810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143375" cy="381000"/>
                    </a:xfrm>
                    <a:prstGeom prst="rect">
                      <a:avLst/>
                    </a:prstGeom>
                    <a:noFill/>
                    <a:ln w="9525">
                      <a:noFill/>
                      <a:miter lim="800000"/>
                      <a:headEnd/>
                      <a:tailEnd/>
                    </a:ln>
                  </pic:spPr>
                </pic:pic>
              </a:graphicData>
            </a:graphic>
          </wp:inline>
        </w:drawing>
      </w:r>
    </w:p>
    <w:p w:rsidR="002A3D0D" w:rsidRPr="00643993" w:rsidRDefault="002A3D0D" w:rsidP="00605B22">
      <w:pPr>
        <w:jc w:val="both"/>
        <w:rPr>
          <w:rFonts w:cstheme="minorHAnsi"/>
        </w:rPr>
      </w:pPr>
      <w:r w:rsidRPr="00643993">
        <w:rPr>
          <w:rFonts w:cstheme="minorHAnsi"/>
          <w:noProof/>
        </w:rPr>
        <w:drawing>
          <wp:inline distT="0" distB="0" distL="0" distR="0" wp14:anchorId="1ABFC9C0" wp14:editId="4AAB8412">
            <wp:extent cx="5943600" cy="152162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943600" cy="1521629"/>
                    </a:xfrm>
                    <a:prstGeom prst="rect">
                      <a:avLst/>
                    </a:prstGeom>
                    <a:noFill/>
                    <a:ln w="9525">
                      <a:noFill/>
                      <a:miter lim="800000"/>
                      <a:headEnd/>
                      <a:tailEnd/>
                    </a:ln>
                  </pic:spPr>
                </pic:pic>
              </a:graphicData>
            </a:graphic>
          </wp:inline>
        </w:drawing>
      </w:r>
    </w:p>
    <w:p w:rsidR="00E0074E" w:rsidRPr="00643993" w:rsidRDefault="00CC449F" w:rsidP="00FE7B4B">
      <w:pPr>
        <w:jc w:val="both"/>
        <w:rPr>
          <w:rFonts w:cstheme="minorHAnsi"/>
          <w:szCs w:val="24"/>
        </w:rPr>
      </w:pPr>
      <w:r w:rsidRPr="00643993">
        <w:rPr>
          <w:rFonts w:cstheme="minorHAnsi"/>
          <w:b/>
        </w:rPr>
        <w:t>Response to Referee:</w:t>
      </w:r>
      <w:r w:rsidRPr="00643993">
        <w:rPr>
          <w:rFonts w:cstheme="minorHAnsi"/>
        </w:rPr>
        <w:t xml:space="preserve"> </w:t>
      </w:r>
      <w:r w:rsidR="00E0074E" w:rsidRPr="00643993">
        <w:rPr>
          <w:rFonts w:cstheme="minorHAnsi"/>
        </w:rPr>
        <w:t xml:space="preserve">We have addressed this point on the relevant page in a footnote. </w:t>
      </w:r>
      <w:r w:rsidR="00D75C81" w:rsidRPr="00643993">
        <w:rPr>
          <w:rFonts w:cstheme="minorHAnsi"/>
        </w:rPr>
        <w:t>Also in the main text we now say: “</w:t>
      </w:r>
      <w:r w:rsidR="00D75C81" w:rsidRPr="00643993">
        <w:rPr>
          <w:rFonts w:cstheme="minorHAnsi"/>
          <w:szCs w:val="24"/>
        </w:rPr>
        <w:t>Granger causality is thus quite useful, in that it allows one to test for relationships that one might otherwise assume away or otherwise take for granted.”</w:t>
      </w:r>
    </w:p>
    <w:p w:rsidR="00D75C81" w:rsidRPr="00643993" w:rsidRDefault="003D5D91" w:rsidP="00605B22">
      <w:pPr>
        <w:jc w:val="both"/>
        <w:rPr>
          <w:rFonts w:cstheme="minorHAnsi"/>
        </w:rPr>
      </w:pPr>
      <w:r w:rsidRPr="00643993">
        <w:rPr>
          <w:rFonts w:cstheme="minorHAnsi"/>
          <w:noProof/>
        </w:rPr>
        <w:drawing>
          <wp:inline distT="0" distB="0" distL="0" distR="0" wp14:anchorId="30F67EA8" wp14:editId="7B65BDE2">
            <wp:extent cx="5943600" cy="186798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5943600" cy="1867989"/>
                    </a:xfrm>
                    <a:prstGeom prst="rect">
                      <a:avLst/>
                    </a:prstGeom>
                    <a:noFill/>
                    <a:ln w="9525">
                      <a:noFill/>
                      <a:miter lim="800000"/>
                      <a:headEnd/>
                      <a:tailEnd/>
                    </a:ln>
                  </pic:spPr>
                </pic:pic>
              </a:graphicData>
            </a:graphic>
          </wp:inline>
        </w:drawing>
      </w:r>
    </w:p>
    <w:p w:rsidR="000F7E14" w:rsidRPr="00643993" w:rsidRDefault="00CC449F" w:rsidP="00FE7B4B">
      <w:pPr>
        <w:jc w:val="both"/>
        <w:rPr>
          <w:rFonts w:cstheme="minorHAnsi"/>
        </w:rPr>
      </w:pPr>
      <w:r w:rsidRPr="00643993">
        <w:rPr>
          <w:rFonts w:cstheme="minorHAnsi"/>
          <w:b/>
        </w:rPr>
        <w:t>Response to Referee:</w:t>
      </w:r>
      <w:r w:rsidRPr="00643993">
        <w:rPr>
          <w:rFonts w:cstheme="minorHAnsi"/>
        </w:rPr>
        <w:t xml:space="preserve"> </w:t>
      </w:r>
      <w:r w:rsidR="00AC4F05" w:rsidRPr="00643993">
        <w:rPr>
          <w:rFonts w:cstheme="minorHAnsi"/>
        </w:rPr>
        <w:t xml:space="preserve">The text now reads: </w:t>
      </w:r>
      <w:r w:rsidR="00B51267" w:rsidRPr="00643993">
        <w:rPr>
          <w:rFonts w:cstheme="minorHAnsi"/>
        </w:rPr>
        <w:t>“For commodity prices, we use the non-fuel commodity price index published by the IMF. The IMF publishes world export-earnings-weighted price index (2005=100) for over forty primary commodities traded on various exchanges. The index has 35 commodities representing approximately 42.9% of South Af</w:t>
      </w:r>
      <w:r w:rsidR="00B81B75" w:rsidRPr="00643993">
        <w:rPr>
          <w:rFonts w:cstheme="minorHAnsi"/>
        </w:rPr>
        <w:t>rica’s exports [Ndlovu, X., (2010</w:t>
      </w:r>
      <w:r w:rsidR="00B51267" w:rsidRPr="00643993">
        <w:rPr>
          <w:rFonts w:cstheme="minorHAnsi"/>
        </w:rPr>
        <w:t>)</w:t>
      </w:r>
      <w:r w:rsidR="00B81B75" w:rsidRPr="00643993">
        <w:rPr>
          <w:rFonts w:cstheme="minorHAnsi"/>
        </w:rPr>
        <w:t>]</w:t>
      </w:r>
      <w:r w:rsidR="00B51267" w:rsidRPr="00643993">
        <w:rPr>
          <w:rFonts w:cstheme="minorHAnsi"/>
        </w:rPr>
        <w:t xml:space="preserve"> This index excludes the effects of the weight of petroleum products</w:t>
      </w:r>
      <w:r w:rsidR="00FE7B4B" w:rsidRPr="00643993">
        <w:rPr>
          <w:rFonts w:cstheme="minorHAnsi"/>
        </w:rPr>
        <w:t xml:space="preserve"> </w:t>
      </w:r>
      <w:r w:rsidR="00B51267" w:rsidRPr="00643993">
        <w:rPr>
          <w:rFonts w:cstheme="minorHAnsi"/>
        </w:rPr>
        <w:t xml:space="preserve">(which have a weight of 53.6% in the all-commodity index) which may bias our estimations. The USD denominated index is suitable for South Africa, which has its commodity exports invoiced in US Dollars. This choice of data consistent with Chen &amp; </w:t>
      </w:r>
      <w:proofErr w:type="spellStart"/>
      <w:r w:rsidR="00B51267" w:rsidRPr="00643993">
        <w:rPr>
          <w:rFonts w:cstheme="minorHAnsi"/>
        </w:rPr>
        <w:t>Rogoff</w:t>
      </w:r>
      <w:proofErr w:type="spellEnd"/>
      <w:r w:rsidR="00B51267" w:rsidRPr="00643993">
        <w:rPr>
          <w:rFonts w:cstheme="minorHAnsi"/>
        </w:rPr>
        <w:t xml:space="preserve"> (2002) and Simpson (2002).”</w:t>
      </w:r>
    </w:p>
    <w:p w:rsidR="00D31E25" w:rsidRPr="00643993" w:rsidRDefault="00CC449F" w:rsidP="00FE7B4B">
      <w:pPr>
        <w:jc w:val="both"/>
        <w:rPr>
          <w:rFonts w:cstheme="minorHAnsi"/>
        </w:rPr>
      </w:pPr>
      <w:r w:rsidRPr="00643993">
        <w:rPr>
          <w:rFonts w:cstheme="minorHAnsi"/>
          <w:b/>
        </w:rPr>
        <w:t>Response to Referee:</w:t>
      </w:r>
      <w:r w:rsidRPr="00643993">
        <w:rPr>
          <w:rFonts w:cstheme="minorHAnsi"/>
        </w:rPr>
        <w:t xml:space="preserve"> </w:t>
      </w:r>
      <w:r w:rsidR="000F7E14" w:rsidRPr="00643993">
        <w:rPr>
          <w:rFonts w:cstheme="minorHAnsi"/>
        </w:rPr>
        <w:t xml:space="preserve">We have now combined Figures 1 and 2. </w:t>
      </w:r>
      <w:r w:rsidR="00437EDA" w:rsidRPr="00643993">
        <w:rPr>
          <w:rFonts w:cstheme="minorHAnsi"/>
        </w:rPr>
        <w:t xml:space="preserve">In the main text we now say: </w:t>
      </w:r>
      <w:bookmarkStart w:id="1" w:name="OLE_LINK1"/>
      <w:bookmarkStart w:id="2" w:name="OLE_LINK2"/>
      <w:r w:rsidR="00437EDA" w:rsidRPr="00643993">
        <w:rPr>
          <w:rFonts w:cstheme="minorHAnsi"/>
        </w:rPr>
        <w:t>“The plots in Figure 1 indicate the possibility of structural breaks in the series. This will be investigated in more detail in the context of the Johansen test. “</w:t>
      </w:r>
    </w:p>
    <w:bookmarkEnd w:id="1"/>
    <w:bookmarkEnd w:id="2"/>
    <w:p w:rsidR="00095374" w:rsidRPr="00643993" w:rsidRDefault="00CC449F" w:rsidP="00FE7B4B">
      <w:pPr>
        <w:jc w:val="both"/>
        <w:rPr>
          <w:rFonts w:cstheme="minorHAnsi"/>
        </w:rPr>
      </w:pPr>
      <w:r w:rsidRPr="00643993">
        <w:rPr>
          <w:rFonts w:cstheme="minorHAnsi"/>
          <w:b/>
        </w:rPr>
        <w:t>Response to Referee:</w:t>
      </w:r>
      <w:r w:rsidRPr="00643993">
        <w:rPr>
          <w:rFonts w:cstheme="minorHAnsi"/>
        </w:rPr>
        <w:t xml:space="preserve"> </w:t>
      </w:r>
      <w:r w:rsidR="00D31E25" w:rsidRPr="00643993">
        <w:rPr>
          <w:rFonts w:cstheme="minorHAnsi"/>
        </w:rPr>
        <w:t xml:space="preserve">Table 1 has been deleted. </w:t>
      </w:r>
      <w:r w:rsidR="00095374" w:rsidRPr="00643993">
        <w:rPr>
          <w:rFonts w:cstheme="minorHAnsi"/>
        </w:rPr>
        <w:t>We have included a short discussion about the exchange rate over the sample period.</w:t>
      </w:r>
    </w:p>
    <w:p w:rsidR="00243DCE" w:rsidRPr="00643993" w:rsidRDefault="00CC449F" w:rsidP="00FE7B4B">
      <w:pPr>
        <w:pStyle w:val="Default"/>
        <w:jc w:val="both"/>
        <w:rPr>
          <w:rFonts w:asciiTheme="minorHAnsi" w:hAnsiTheme="minorHAnsi" w:cstheme="minorHAnsi"/>
          <w:sz w:val="22"/>
          <w:szCs w:val="22"/>
        </w:rPr>
      </w:pPr>
      <w:r w:rsidRPr="00643993">
        <w:rPr>
          <w:rFonts w:asciiTheme="minorHAnsi" w:hAnsiTheme="minorHAnsi" w:cstheme="minorHAnsi"/>
          <w:b/>
          <w:sz w:val="22"/>
          <w:szCs w:val="22"/>
        </w:rPr>
        <w:t>Referee</w:t>
      </w:r>
      <w:r w:rsidR="007823A8" w:rsidRPr="00643993">
        <w:rPr>
          <w:rFonts w:asciiTheme="minorHAnsi" w:hAnsiTheme="minorHAnsi" w:cstheme="minorHAnsi"/>
          <w:b/>
          <w:sz w:val="22"/>
          <w:szCs w:val="22"/>
        </w:rPr>
        <w:t xml:space="preserve"> comment</w:t>
      </w:r>
      <w:r w:rsidRPr="00643993">
        <w:rPr>
          <w:rFonts w:asciiTheme="minorHAnsi" w:hAnsiTheme="minorHAnsi" w:cstheme="minorHAnsi"/>
          <w:b/>
          <w:sz w:val="22"/>
          <w:szCs w:val="22"/>
        </w:rPr>
        <w:t>:</w:t>
      </w:r>
      <w:r w:rsidRPr="00643993">
        <w:rPr>
          <w:rFonts w:asciiTheme="minorHAnsi" w:hAnsiTheme="minorHAnsi" w:cstheme="minorHAnsi"/>
          <w:sz w:val="22"/>
          <w:szCs w:val="22"/>
        </w:rPr>
        <w:t xml:space="preserve"> </w:t>
      </w:r>
      <w:r w:rsidR="00243DCE" w:rsidRPr="00643993">
        <w:rPr>
          <w:rFonts w:asciiTheme="minorHAnsi" w:hAnsiTheme="minorHAnsi" w:cstheme="minorHAnsi"/>
          <w:sz w:val="22"/>
          <w:szCs w:val="22"/>
        </w:rPr>
        <w:t xml:space="preserve">Section 4.2: Given that unit root tests have poor power and size properties in small samples, the author(s) should consider using other unit root tests, so that their conclusions on the order of integration of the two series under consideration are more robust. </w:t>
      </w:r>
    </w:p>
    <w:p w:rsidR="00243DCE" w:rsidRPr="00643993" w:rsidRDefault="00243DCE" w:rsidP="00605B22">
      <w:pPr>
        <w:pStyle w:val="Default"/>
        <w:jc w:val="both"/>
        <w:rPr>
          <w:rFonts w:asciiTheme="minorHAnsi" w:hAnsiTheme="minorHAnsi" w:cstheme="minorHAnsi"/>
          <w:sz w:val="22"/>
          <w:szCs w:val="22"/>
        </w:rPr>
      </w:pPr>
    </w:p>
    <w:p w:rsidR="00243DCE" w:rsidRPr="00643993" w:rsidRDefault="00CC449F" w:rsidP="00FE7B4B">
      <w:pPr>
        <w:autoSpaceDE w:val="0"/>
        <w:autoSpaceDN w:val="0"/>
        <w:adjustRightInd w:val="0"/>
        <w:spacing w:after="0" w:line="240" w:lineRule="auto"/>
        <w:jc w:val="both"/>
        <w:rPr>
          <w:rFonts w:cstheme="minorHAnsi"/>
          <w:b/>
          <w:color w:val="000000"/>
        </w:rPr>
      </w:pPr>
      <w:r w:rsidRPr="00643993">
        <w:rPr>
          <w:rFonts w:cstheme="minorHAnsi"/>
          <w:b/>
        </w:rPr>
        <w:t>Response to Referee:</w:t>
      </w:r>
      <w:r w:rsidRPr="00643993">
        <w:rPr>
          <w:rFonts w:cstheme="minorHAnsi"/>
        </w:rPr>
        <w:t xml:space="preserve"> I</w:t>
      </w:r>
      <w:r w:rsidR="00900657" w:rsidRPr="00643993">
        <w:rPr>
          <w:rFonts w:cstheme="minorHAnsi"/>
        </w:rPr>
        <w:t xml:space="preserve">n Section 4.2.1 we now </w:t>
      </w:r>
      <w:proofErr w:type="gramStart"/>
      <w:r w:rsidR="00900657" w:rsidRPr="00643993">
        <w:rPr>
          <w:rFonts w:cstheme="minorHAnsi"/>
        </w:rPr>
        <w:t>say :</w:t>
      </w:r>
      <w:proofErr w:type="gramEnd"/>
      <w:r w:rsidR="00900657" w:rsidRPr="00643993">
        <w:rPr>
          <w:rFonts w:cstheme="minorHAnsi"/>
        </w:rPr>
        <w:t>” We employ the AD</w:t>
      </w:r>
      <w:r w:rsidR="00A379E9" w:rsidRPr="00643993">
        <w:rPr>
          <w:rFonts w:cstheme="minorHAnsi"/>
        </w:rPr>
        <w:t>F and KPSS test for unit roots [Dickey &amp; Fuller (</w:t>
      </w:r>
      <w:r w:rsidR="00900657" w:rsidRPr="00643993">
        <w:rPr>
          <w:rFonts w:cstheme="minorHAnsi"/>
        </w:rPr>
        <w:t>1981</w:t>
      </w:r>
      <w:r w:rsidR="00A379E9" w:rsidRPr="00643993">
        <w:rPr>
          <w:rFonts w:cstheme="minorHAnsi"/>
        </w:rPr>
        <w:t>)</w:t>
      </w:r>
      <w:r w:rsidR="00900657" w:rsidRPr="00643993">
        <w:rPr>
          <w:rFonts w:cstheme="minorHAnsi"/>
        </w:rPr>
        <w:t xml:space="preserve"> and </w:t>
      </w:r>
      <w:proofErr w:type="spellStart"/>
      <w:r w:rsidR="00900657" w:rsidRPr="00643993">
        <w:rPr>
          <w:rFonts w:cstheme="minorHAnsi"/>
        </w:rPr>
        <w:t>Kwiatowski</w:t>
      </w:r>
      <w:proofErr w:type="spellEnd"/>
      <w:r w:rsidR="00900657" w:rsidRPr="00643993">
        <w:rPr>
          <w:rFonts w:cstheme="minorHAnsi"/>
        </w:rPr>
        <w:t xml:space="preserve"> et al </w:t>
      </w:r>
      <w:r w:rsidR="00A379E9" w:rsidRPr="00643993">
        <w:rPr>
          <w:rFonts w:cstheme="minorHAnsi"/>
        </w:rPr>
        <w:t>(</w:t>
      </w:r>
      <w:r w:rsidR="00900657" w:rsidRPr="00643993">
        <w:rPr>
          <w:rFonts w:cstheme="minorHAnsi"/>
        </w:rPr>
        <w:t>1992). Results</w:t>
      </w:r>
      <w:r w:rsidR="007823A8" w:rsidRPr="00643993">
        <w:rPr>
          <w:rFonts w:cstheme="minorHAnsi"/>
        </w:rPr>
        <w:t xml:space="preserve"> are</w:t>
      </w:r>
      <w:r w:rsidR="00A379E9" w:rsidRPr="00643993">
        <w:rPr>
          <w:rFonts w:cstheme="minorHAnsi"/>
        </w:rPr>
        <w:t xml:space="preserve"> reported in Section 4.3</w:t>
      </w:r>
      <w:r w:rsidR="00900657" w:rsidRPr="00643993">
        <w:rPr>
          <w:rFonts w:cstheme="minorHAnsi"/>
        </w:rPr>
        <w:t>”</w:t>
      </w:r>
      <w:r w:rsidR="00B81B75" w:rsidRPr="00643993">
        <w:rPr>
          <w:rFonts w:cstheme="minorHAnsi"/>
        </w:rPr>
        <w:t>.</w:t>
      </w:r>
    </w:p>
    <w:p w:rsidR="00A379E9" w:rsidRPr="00643993" w:rsidRDefault="00A379E9" w:rsidP="00A379E9">
      <w:pPr>
        <w:autoSpaceDE w:val="0"/>
        <w:autoSpaceDN w:val="0"/>
        <w:adjustRightInd w:val="0"/>
        <w:spacing w:after="0" w:line="240" w:lineRule="auto"/>
        <w:rPr>
          <w:rFonts w:cstheme="minorHAnsi"/>
          <w:color w:val="000000"/>
        </w:rPr>
      </w:pPr>
    </w:p>
    <w:p w:rsidR="00A379E9" w:rsidRPr="00643993" w:rsidRDefault="00A379E9" w:rsidP="00A379E9">
      <w:pPr>
        <w:autoSpaceDE w:val="0"/>
        <w:autoSpaceDN w:val="0"/>
        <w:adjustRightInd w:val="0"/>
        <w:spacing w:after="0" w:line="240" w:lineRule="auto"/>
        <w:jc w:val="both"/>
        <w:rPr>
          <w:rFonts w:eastAsiaTheme="minorHAnsi" w:cstheme="minorHAnsi"/>
          <w:lang w:eastAsia="en-US"/>
        </w:rPr>
      </w:pPr>
      <w:r w:rsidRPr="00643993">
        <w:rPr>
          <w:rFonts w:cstheme="minorHAnsi"/>
          <w:color w:val="000000"/>
        </w:rPr>
        <w:t xml:space="preserve">Further, in Section 4.3 </w:t>
      </w:r>
      <w:r w:rsidR="00900657" w:rsidRPr="00643993">
        <w:rPr>
          <w:rFonts w:cstheme="minorHAnsi"/>
          <w:color w:val="000000"/>
        </w:rPr>
        <w:t xml:space="preserve">we have inserted the following text: </w:t>
      </w:r>
      <w:r w:rsidRPr="00643993">
        <w:rPr>
          <w:rFonts w:cstheme="minorHAnsi"/>
          <w:color w:val="000000"/>
        </w:rPr>
        <w:t>“</w:t>
      </w:r>
      <w:r w:rsidRPr="00643993">
        <w:rPr>
          <w:rFonts w:eastAsiaTheme="minorHAnsi" w:cstheme="minorHAnsi"/>
          <w:lang w:eastAsia="en-US"/>
        </w:rPr>
        <w:t xml:space="preserve">We apply the ADF and KPSS tests to test the null of a unit root and the null of </w:t>
      </w:r>
      <w:proofErr w:type="spellStart"/>
      <w:r w:rsidRPr="00643993">
        <w:rPr>
          <w:rFonts w:eastAsiaTheme="minorHAnsi" w:cstheme="minorHAnsi"/>
          <w:lang w:eastAsia="en-US"/>
        </w:rPr>
        <w:t>stationarity</w:t>
      </w:r>
      <w:proofErr w:type="spellEnd"/>
      <w:r w:rsidRPr="00643993">
        <w:rPr>
          <w:rFonts w:eastAsiaTheme="minorHAnsi" w:cstheme="minorHAnsi"/>
          <w:lang w:eastAsia="en-US"/>
        </w:rPr>
        <w:t xml:space="preserve"> respectively. It is well established that standard unit root tests such as ADF fail to reject the null hypothesis of unit root for many economic series [See Nelson and </w:t>
      </w:r>
      <w:proofErr w:type="spellStart"/>
      <w:r w:rsidRPr="00643993">
        <w:rPr>
          <w:rFonts w:eastAsiaTheme="minorHAnsi" w:cstheme="minorHAnsi"/>
          <w:lang w:eastAsia="en-US"/>
        </w:rPr>
        <w:t>Plosser</w:t>
      </w:r>
      <w:proofErr w:type="spellEnd"/>
      <w:r w:rsidRPr="00643993">
        <w:rPr>
          <w:rFonts w:eastAsiaTheme="minorHAnsi" w:cstheme="minorHAnsi"/>
          <w:lang w:eastAsia="en-US"/>
        </w:rPr>
        <w:t xml:space="preserve"> (1982)]. To complement the ADF test we apply the </w:t>
      </w:r>
      <w:proofErr w:type="spellStart"/>
      <w:r w:rsidRPr="00643993">
        <w:rPr>
          <w:rFonts w:eastAsiaTheme="minorHAnsi" w:cstheme="minorHAnsi"/>
          <w:lang w:eastAsia="en-US"/>
        </w:rPr>
        <w:t>stationarity</w:t>
      </w:r>
      <w:proofErr w:type="spellEnd"/>
      <w:r w:rsidRPr="00643993">
        <w:rPr>
          <w:rFonts w:eastAsiaTheme="minorHAnsi" w:cstheme="minorHAnsi"/>
          <w:lang w:eastAsia="en-US"/>
        </w:rPr>
        <w:t xml:space="preserve"> test proposed by </w:t>
      </w:r>
      <w:proofErr w:type="gramStart"/>
      <w:r w:rsidRPr="00643993">
        <w:rPr>
          <w:rFonts w:eastAsiaTheme="minorHAnsi" w:cstheme="minorHAnsi"/>
          <w:lang w:eastAsia="en-US"/>
        </w:rPr>
        <w:t>Kwiatkowski  et</w:t>
      </w:r>
      <w:proofErr w:type="gramEnd"/>
      <w:r w:rsidRPr="00643993">
        <w:rPr>
          <w:rFonts w:eastAsiaTheme="minorHAnsi" w:cstheme="minorHAnsi"/>
          <w:lang w:eastAsia="en-US"/>
        </w:rPr>
        <w:t xml:space="preserve"> al (1992). The KPSS test statistic is an LM type statistic, with the number of lags truncation selected automatically by </w:t>
      </w:r>
      <w:proofErr w:type="spellStart"/>
      <w:r w:rsidRPr="00643993">
        <w:rPr>
          <w:rFonts w:eastAsiaTheme="minorHAnsi" w:cstheme="minorHAnsi"/>
          <w:lang w:eastAsia="en-US"/>
        </w:rPr>
        <w:t>Newey</w:t>
      </w:r>
      <w:proofErr w:type="spellEnd"/>
      <w:r w:rsidRPr="00643993">
        <w:rPr>
          <w:rFonts w:eastAsiaTheme="minorHAnsi" w:cstheme="minorHAnsi"/>
          <w:lang w:eastAsia="en-US"/>
        </w:rPr>
        <w:t xml:space="preserve"> and West Bandwidth using </w:t>
      </w:r>
      <w:proofErr w:type="spellStart"/>
      <w:r w:rsidRPr="00643993">
        <w:rPr>
          <w:rFonts w:eastAsiaTheme="minorHAnsi" w:cstheme="minorHAnsi"/>
          <w:lang w:eastAsia="en-US"/>
        </w:rPr>
        <w:t>Barlett</w:t>
      </w:r>
      <w:proofErr w:type="spellEnd"/>
      <w:r w:rsidRPr="00643993">
        <w:rPr>
          <w:rFonts w:eastAsiaTheme="minorHAnsi" w:cstheme="minorHAnsi"/>
          <w:lang w:eastAsia="en-US"/>
        </w:rPr>
        <w:t xml:space="preserve"> </w:t>
      </w:r>
      <w:proofErr w:type="spellStart"/>
      <w:r w:rsidRPr="00643993">
        <w:rPr>
          <w:rFonts w:eastAsiaTheme="minorHAnsi" w:cstheme="minorHAnsi"/>
          <w:lang w:eastAsia="en-US"/>
        </w:rPr>
        <w:t>Kernal</w:t>
      </w:r>
      <w:proofErr w:type="spellEnd"/>
      <w:r w:rsidRPr="00643993">
        <w:rPr>
          <w:rFonts w:eastAsiaTheme="minorHAnsi" w:cstheme="minorHAnsi"/>
          <w:lang w:eastAsia="en-US"/>
        </w:rPr>
        <w:t xml:space="preserve"> spectral estimation method. The null hypothesis of </w:t>
      </w:r>
      <w:proofErr w:type="spellStart"/>
      <w:r w:rsidRPr="00643993">
        <w:rPr>
          <w:rFonts w:eastAsiaTheme="minorHAnsi" w:cstheme="minorHAnsi"/>
          <w:lang w:eastAsia="en-US"/>
        </w:rPr>
        <w:t>stationarity</w:t>
      </w:r>
      <w:proofErr w:type="spellEnd"/>
      <w:r w:rsidRPr="00643993">
        <w:rPr>
          <w:rFonts w:eastAsiaTheme="minorHAnsi" w:cstheme="minorHAnsi"/>
          <w:lang w:eastAsia="en-US"/>
        </w:rPr>
        <w:t xml:space="preserve"> is accepted if the value of the KPSS test statistic is less than its critical value at the conventional level of significance. The results of both the unit root and </w:t>
      </w:r>
      <w:proofErr w:type="spellStart"/>
      <w:r w:rsidRPr="00643993">
        <w:rPr>
          <w:rFonts w:eastAsiaTheme="minorHAnsi" w:cstheme="minorHAnsi"/>
          <w:lang w:eastAsia="en-US"/>
        </w:rPr>
        <w:t>stationarity</w:t>
      </w:r>
      <w:proofErr w:type="spellEnd"/>
      <w:r w:rsidRPr="00643993">
        <w:rPr>
          <w:rFonts w:eastAsiaTheme="minorHAnsi" w:cstheme="minorHAnsi"/>
          <w:lang w:eastAsia="en-US"/>
        </w:rPr>
        <w:t xml:space="preserve"> test are presented in Table 1. Using the 5% level, we reject the null of </w:t>
      </w:r>
      <w:proofErr w:type="spellStart"/>
      <w:r w:rsidRPr="00643993">
        <w:rPr>
          <w:rFonts w:eastAsiaTheme="minorHAnsi" w:cstheme="minorHAnsi"/>
          <w:lang w:eastAsia="en-US"/>
        </w:rPr>
        <w:t>stationarity</w:t>
      </w:r>
      <w:proofErr w:type="spellEnd"/>
      <w:r w:rsidRPr="00643993">
        <w:rPr>
          <w:rFonts w:eastAsiaTheme="minorHAnsi" w:cstheme="minorHAnsi"/>
          <w:lang w:eastAsia="en-US"/>
        </w:rPr>
        <w:t xml:space="preserve"> in the Table 1 below. As seen from the first differences, both exchange rates and commodity prices are non-stationary at the conventional level of significance. Further, the ADF test statistic is less negative at any of the chosen levels of significance at levels. However, the first differences are stationary. Thus both the ADF and KPSS confirm that the two series are I (1), justifying our test for </w:t>
      </w:r>
      <w:proofErr w:type="spellStart"/>
      <w:r w:rsidRPr="00643993">
        <w:rPr>
          <w:rFonts w:eastAsiaTheme="minorHAnsi" w:cstheme="minorHAnsi"/>
          <w:lang w:eastAsia="en-US"/>
        </w:rPr>
        <w:t>cointegration</w:t>
      </w:r>
      <w:proofErr w:type="spellEnd"/>
      <w:r w:rsidRPr="00643993">
        <w:rPr>
          <w:rFonts w:eastAsiaTheme="minorHAnsi" w:cstheme="minorHAnsi"/>
          <w:lang w:eastAsia="en-US"/>
        </w:rPr>
        <w:t xml:space="preserve"> in the next section.”</w:t>
      </w:r>
    </w:p>
    <w:p w:rsidR="00A379E9" w:rsidRPr="00643993" w:rsidRDefault="00A379E9" w:rsidP="00A379E9">
      <w:pPr>
        <w:tabs>
          <w:tab w:val="left" w:pos="2025"/>
        </w:tabs>
        <w:autoSpaceDE w:val="0"/>
        <w:autoSpaceDN w:val="0"/>
        <w:adjustRightInd w:val="0"/>
        <w:spacing w:after="0" w:line="240" w:lineRule="auto"/>
        <w:jc w:val="both"/>
        <w:rPr>
          <w:rFonts w:eastAsiaTheme="minorHAnsi" w:cstheme="minorHAnsi"/>
          <w:sz w:val="24"/>
          <w:szCs w:val="24"/>
          <w:lang w:eastAsia="en-US"/>
        </w:rPr>
      </w:pPr>
      <w:r w:rsidRPr="00643993">
        <w:rPr>
          <w:rFonts w:eastAsiaTheme="minorHAnsi" w:cstheme="minorHAnsi"/>
          <w:sz w:val="24"/>
          <w:szCs w:val="24"/>
          <w:lang w:eastAsia="en-US"/>
        </w:rPr>
        <w:tab/>
      </w:r>
    </w:p>
    <w:p w:rsidR="00A379E9" w:rsidRPr="00643993" w:rsidRDefault="00A379E9" w:rsidP="00A379E9">
      <w:pPr>
        <w:autoSpaceDE w:val="0"/>
        <w:autoSpaceDN w:val="0"/>
        <w:adjustRightInd w:val="0"/>
        <w:spacing w:after="0" w:line="240" w:lineRule="auto"/>
        <w:jc w:val="both"/>
        <w:rPr>
          <w:rFonts w:eastAsiaTheme="minorHAnsi" w:cstheme="minorHAnsi"/>
          <w:b/>
          <w:sz w:val="24"/>
          <w:szCs w:val="24"/>
          <w:lang w:eastAsia="en-US"/>
        </w:rPr>
      </w:pPr>
      <w:r w:rsidRPr="00643993">
        <w:rPr>
          <w:rFonts w:eastAsiaTheme="minorHAnsi" w:cstheme="minorHAnsi"/>
          <w:b/>
          <w:sz w:val="24"/>
          <w:szCs w:val="24"/>
          <w:lang w:eastAsia="en-US"/>
        </w:rPr>
        <w:t xml:space="preserve">Table 1: Unit Root and </w:t>
      </w:r>
      <w:proofErr w:type="spellStart"/>
      <w:r w:rsidRPr="00643993">
        <w:rPr>
          <w:rFonts w:eastAsiaTheme="minorHAnsi" w:cstheme="minorHAnsi"/>
          <w:b/>
          <w:sz w:val="24"/>
          <w:szCs w:val="24"/>
          <w:lang w:eastAsia="en-US"/>
        </w:rPr>
        <w:t>Stationarity</w:t>
      </w:r>
      <w:proofErr w:type="spellEnd"/>
      <w:r w:rsidRPr="00643993">
        <w:rPr>
          <w:rFonts w:eastAsiaTheme="minorHAnsi" w:cstheme="minorHAnsi"/>
          <w:b/>
          <w:sz w:val="24"/>
          <w:szCs w:val="24"/>
          <w:lang w:eastAsia="en-US"/>
        </w:rPr>
        <w:t xml:space="preserve"> Test*</w:t>
      </w:r>
    </w:p>
    <w:tbl>
      <w:tblPr>
        <w:tblStyle w:val="TableGrid2"/>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1767"/>
        <w:gridCol w:w="1985"/>
        <w:gridCol w:w="850"/>
        <w:gridCol w:w="2127"/>
      </w:tblGrid>
      <w:tr w:rsidR="00A379E9" w:rsidRPr="00643993" w:rsidTr="00C13DFF">
        <w:tc>
          <w:tcPr>
            <w:tcW w:w="2202" w:type="dxa"/>
          </w:tcPr>
          <w:p w:rsidR="00A379E9" w:rsidRPr="00643993" w:rsidRDefault="00A379E9" w:rsidP="00A379E9">
            <w:pPr>
              <w:autoSpaceDE w:val="0"/>
              <w:autoSpaceDN w:val="0"/>
              <w:adjustRightInd w:val="0"/>
              <w:jc w:val="both"/>
              <w:rPr>
                <w:rFonts w:cstheme="minorHAnsi"/>
                <w:i/>
                <w:sz w:val="20"/>
                <w:szCs w:val="20"/>
              </w:rPr>
            </w:pPr>
          </w:p>
        </w:tc>
        <w:tc>
          <w:tcPr>
            <w:tcW w:w="3752" w:type="dxa"/>
            <w:gridSpan w:val="2"/>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ADF</w:t>
            </w:r>
          </w:p>
        </w:tc>
        <w:tc>
          <w:tcPr>
            <w:tcW w:w="2977" w:type="dxa"/>
            <w:gridSpan w:val="2"/>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KPSS</w:t>
            </w:r>
          </w:p>
        </w:tc>
      </w:tr>
      <w:tr w:rsidR="00A379E9" w:rsidRPr="00643993" w:rsidTr="00C13DFF">
        <w:tc>
          <w:tcPr>
            <w:tcW w:w="2202" w:type="dxa"/>
          </w:tcPr>
          <w:p w:rsidR="00A379E9" w:rsidRPr="00643993" w:rsidRDefault="00A379E9" w:rsidP="00A379E9">
            <w:pPr>
              <w:autoSpaceDE w:val="0"/>
              <w:autoSpaceDN w:val="0"/>
              <w:adjustRightInd w:val="0"/>
              <w:jc w:val="both"/>
              <w:rPr>
                <w:rFonts w:cstheme="minorHAnsi"/>
                <w:i/>
                <w:sz w:val="20"/>
                <w:szCs w:val="20"/>
              </w:rPr>
            </w:pPr>
          </w:p>
        </w:tc>
        <w:tc>
          <w:tcPr>
            <w:tcW w:w="1767"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Levels</w:t>
            </w:r>
          </w:p>
        </w:tc>
        <w:tc>
          <w:tcPr>
            <w:tcW w:w="1985"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First Differences</w:t>
            </w:r>
          </w:p>
        </w:tc>
        <w:tc>
          <w:tcPr>
            <w:tcW w:w="850"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Levels</w:t>
            </w:r>
          </w:p>
        </w:tc>
        <w:tc>
          <w:tcPr>
            <w:tcW w:w="2127"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First Differences</w:t>
            </w:r>
          </w:p>
        </w:tc>
      </w:tr>
      <w:tr w:rsidR="00A379E9" w:rsidRPr="00643993" w:rsidTr="00C13DFF">
        <w:trPr>
          <w:trHeight w:val="338"/>
        </w:trPr>
        <w:tc>
          <w:tcPr>
            <w:tcW w:w="2202"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Exchange rates</w:t>
            </w:r>
          </w:p>
        </w:tc>
        <w:tc>
          <w:tcPr>
            <w:tcW w:w="1767"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-2.1032</w:t>
            </w:r>
          </w:p>
        </w:tc>
        <w:tc>
          <w:tcPr>
            <w:tcW w:w="1985" w:type="dxa"/>
          </w:tcPr>
          <w:tbl>
            <w:tblPr>
              <w:tblW w:w="0" w:type="auto"/>
              <w:tblInd w:w="30" w:type="dxa"/>
              <w:tblCellMar>
                <w:left w:w="0" w:type="dxa"/>
                <w:right w:w="0" w:type="dxa"/>
              </w:tblCellMar>
              <w:tblLook w:val="0000" w:firstRow="0" w:lastRow="0" w:firstColumn="0" w:lastColumn="0" w:noHBand="0" w:noVBand="0"/>
            </w:tblPr>
            <w:tblGrid>
              <w:gridCol w:w="1177"/>
            </w:tblGrid>
            <w:tr w:rsidR="00A379E9" w:rsidRPr="00643993" w:rsidTr="00C13DFF">
              <w:trPr>
                <w:trHeight w:val="225"/>
              </w:trPr>
              <w:tc>
                <w:tcPr>
                  <w:tcW w:w="1177" w:type="dxa"/>
                  <w:tcBorders>
                    <w:top w:val="nil"/>
                    <w:left w:val="nil"/>
                    <w:bottom w:val="nil"/>
                    <w:right w:val="nil"/>
                  </w:tcBorders>
                  <w:vAlign w:val="bottom"/>
                </w:tcPr>
                <w:p w:rsidR="00A379E9" w:rsidRPr="00643993" w:rsidRDefault="00A379E9" w:rsidP="00A379E9">
                  <w:pPr>
                    <w:autoSpaceDE w:val="0"/>
                    <w:autoSpaceDN w:val="0"/>
                    <w:adjustRightInd w:val="0"/>
                    <w:spacing w:after="0" w:line="240" w:lineRule="auto"/>
                    <w:jc w:val="both"/>
                    <w:rPr>
                      <w:rFonts w:eastAsiaTheme="minorHAnsi" w:cstheme="minorHAnsi"/>
                      <w:i/>
                      <w:sz w:val="20"/>
                      <w:szCs w:val="20"/>
                      <w:lang w:eastAsia="en-US"/>
                    </w:rPr>
                  </w:pPr>
                  <w:r w:rsidRPr="00643993">
                    <w:rPr>
                      <w:rFonts w:eastAsiaTheme="minorHAnsi" w:cstheme="minorHAnsi"/>
                      <w:i/>
                      <w:sz w:val="20"/>
                      <w:szCs w:val="20"/>
                      <w:lang w:eastAsia="en-US"/>
                    </w:rPr>
                    <w:t>-12.175</w:t>
                  </w:r>
                </w:p>
              </w:tc>
            </w:tr>
          </w:tbl>
          <w:p w:rsidR="00A379E9" w:rsidRPr="00643993" w:rsidRDefault="00A379E9" w:rsidP="00A379E9">
            <w:pPr>
              <w:autoSpaceDE w:val="0"/>
              <w:autoSpaceDN w:val="0"/>
              <w:adjustRightInd w:val="0"/>
              <w:jc w:val="both"/>
              <w:rPr>
                <w:rFonts w:cstheme="minorHAnsi"/>
                <w:i/>
                <w:sz w:val="20"/>
                <w:szCs w:val="20"/>
              </w:rPr>
            </w:pPr>
          </w:p>
        </w:tc>
        <w:tc>
          <w:tcPr>
            <w:tcW w:w="850"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0.2372</w:t>
            </w:r>
          </w:p>
        </w:tc>
        <w:tc>
          <w:tcPr>
            <w:tcW w:w="2127"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0.07375</w:t>
            </w:r>
          </w:p>
        </w:tc>
      </w:tr>
      <w:tr w:rsidR="00A379E9" w:rsidRPr="00643993" w:rsidTr="00C13DFF">
        <w:trPr>
          <w:trHeight w:val="376"/>
        </w:trPr>
        <w:tc>
          <w:tcPr>
            <w:tcW w:w="2202"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Commodity prices</w:t>
            </w:r>
          </w:p>
        </w:tc>
        <w:tc>
          <w:tcPr>
            <w:tcW w:w="1767"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-2.1673</w:t>
            </w:r>
          </w:p>
        </w:tc>
        <w:tc>
          <w:tcPr>
            <w:tcW w:w="1985" w:type="dxa"/>
          </w:tcPr>
          <w:tbl>
            <w:tblPr>
              <w:tblW w:w="0" w:type="auto"/>
              <w:tblInd w:w="30" w:type="dxa"/>
              <w:tblCellMar>
                <w:left w:w="0" w:type="dxa"/>
                <w:right w:w="0" w:type="dxa"/>
              </w:tblCellMar>
              <w:tblLook w:val="0000" w:firstRow="0" w:lastRow="0" w:firstColumn="0" w:lastColumn="0" w:noHBand="0" w:noVBand="0"/>
            </w:tblPr>
            <w:tblGrid>
              <w:gridCol w:w="1177"/>
            </w:tblGrid>
            <w:tr w:rsidR="00A379E9" w:rsidRPr="00643993" w:rsidTr="00C13DFF">
              <w:trPr>
                <w:trHeight w:val="225"/>
              </w:trPr>
              <w:tc>
                <w:tcPr>
                  <w:tcW w:w="1177" w:type="dxa"/>
                  <w:tcBorders>
                    <w:top w:val="nil"/>
                    <w:left w:val="nil"/>
                    <w:bottom w:val="nil"/>
                    <w:right w:val="nil"/>
                  </w:tcBorders>
                  <w:vAlign w:val="bottom"/>
                </w:tcPr>
                <w:p w:rsidR="00A379E9" w:rsidRPr="00643993" w:rsidRDefault="00A379E9" w:rsidP="00A379E9">
                  <w:pPr>
                    <w:autoSpaceDE w:val="0"/>
                    <w:autoSpaceDN w:val="0"/>
                    <w:adjustRightInd w:val="0"/>
                    <w:spacing w:after="0" w:line="240" w:lineRule="auto"/>
                    <w:jc w:val="both"/>
                    <w:rPr>
                      <w:rFonts w:eastAsiaTheme="minorHAnsi" w:cstheme="minorHAnsi"/>
                      <w:i/>
                      <w:sz w:val="20"/>
                      <w:szCs w:val="20"/>
                      <w:lang w:eastAsia="en-US"/>
                    </w:rPr>
                  </w:pPr>
                  <w:r w:rsidRPr="00643993">
                    <w:rPr>
                      <w:rFonts w:eastAsiaTheme="minorHAnsi" w:cstheme="minorHAnsi"/>
                      <w:i/>
                      <w:sz w:val="20"/>
                      <w:szCs w:val="20"/>
                      <w:lang w:eastAsia="en-US"/>
                    </w:rPr>
                    <w:t>-7.9282</w:t>
                  </w:r>
                </w:p>
              </w:tc>
            </w:tr>
          </w:tbl>
          <w:p w:rsidR="00A379E9" w:rsidRPr="00643993" w:rsidRDefault="00A379E9" w:rsidP="00A379E9">
            <w:pPr>
              <w:autoSpaceDE w:val="0"/>
              <w:autoSpaceDN w:val="0"/>
              <w:adjustRightInd w:val="0"/>
              <w:jc w:val="both"/>
              <w:rPr>
                <w:rFonts w:cstheme="minorHAnsi"/>
                <w:i/>
                <w:sz w:val="20"/>
                <w:szCs w:val="20"/>
              </w:rPr>
            </w:pPr>
          </w:p>
        </w:tc>
        <w:tc>
          <w:tcPr>
            <w:tcW w:w="850"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0.3219</w:t>
            </w:r>
          </w:p>
        </w:tc>
        <w:tc>
          <w:tcPr>
            <w:tcW w:w="2127" w:type="dxa"/>
          </w:tcPr>
          <w:p w:rsidR="00A379E9" w:rsidRPr="00643993" w:rsidRDefault="00A379E9" w:rsidP="00A379E9">
            <w:pPr>
              <w:autoSpaceDE w:val="0"/>
              <w:autoSpaceDN w:val="0"/>
              <w:adjustRightInd w:val="0"/>
              <w:jc w:val="both"/>
              <w:rPr>
                <w:rFonts w:cstheme="minorHAnsi"/>
                <w:i/>
                <w:sz w:val="20"/>
                <w:szCs w:val="20"/>
              </w:rPr>
            </w:pPr>
            <w:r w:rsidRPr="00643993">
              <w:rPr>
                <w:rFonts w:cstheme="minorHAnsi"/>
                <w:i/>
                <w:sz w:val="20"/>
                <w:szCs w:val="20"/>
              </w:rPr>
              <w:t>0.06182</w:t>
            </w:r>
          </w:p>
        </w:tc>
      </w:tr>
    </w:tbl>
    <w:p w:rsidR="00A379E9" w:rsidRPr="00643993" w:rsidRDefault="00A379E9" w:rsidP="00A379E9">
      <w:pPr>
        <w:autoSpaceDE w:val="0"/>
        <w:autoSpaceDN w:val="0"/>
        <w:adjustRightInd w:val="0"/>
        <w:spacing w:after="0" w:line="240" w:lineRule="auto"/>
        <w:jc w:val="both"/>
        <w:rPr>
          <w:rFonts w:eastAsiaTheme="minorHAnsi" w:cstheme="minorHAnsi"/>
          <w:sz w:val="20"/>
          <w:szCs w:val="20"/>
          <w:lang w:eastAsia="en-US"/>
        </w:rPr>
      </w:pPr>
      <w:r w:rsidRPr="00643993">
        <w:rPr>
          <w:rFonts w:eastAsiaTheme="minorHAnsi" w:cstheme="minorHAnsi"/>
          <w:lang w:eastAsia="en-US"/>
        </w:rPr>
        <w:t xml:space="preserve">* </w:t>
      </w:r>
      <w:r w:rsidRPr="00643993">
        <w:rPr>
          <w:rFonts w:eastAsiaTheme="minorHAnsi" w:cstheme="minorHAnsi"/>
          <w:sz w:val="20"/>
          <w:szCs w:val="20"/>
          <w:lang w:eastAsia="en-US"/>
        </w:rPr>
        <w:t>Critical values for KPSS at 1%, 5% and 10% are 0.2160, 0.1460 and 1.1190 respectively, including a constant and a trend. ADF critical values including a constant and a trend at 1%, 5% and 10% are -4.129, -3.436 and -3.142 respectively.</w:t>
      </w:r>
    </w:p>
    <w:p w:rsidR="00243DCE" w:rsidRPr="00643993" w:rsidRDefault="00243DCE" w:rsidP="00FE7B4B">
      <w:pPr>
        <w:autoSpaceDE w:val="0"/>
        <w:autoSpaceDN w:val="0"/>
        <w:adjustRightInd w:val="0"/>
        <w:spacing w:after="0" w:line="240" w:lineRule="auto"/>
        <w:jc w:val="both"/>
        <w:rPr>
          <w:rFonts w:cstheme="minorHAnsi"/>
          <w:color w:val="000000"/>
        </w:rPr>
      </w:pPr>
    </w:p>
    <w:p w:rsidR="00243DCE" w:rsidRPr="00643993" w:rsidRDefault="007823A8" w:rsidP="00605B22">
      <w:pPr>
        <w:autoSpaceDE w:val="0"/>
        <w:autoSpaceDN w:val="0"/>
        <w:adjustRightInd w:val="0"/>
        <w:spacing w:after="0" w:line="240" w:lineRule="auto"/>
        <w:jc w:val="both"/>
        <w:rPr>
          <w:rFonts w:cstheme="minorHAnsi"/>
        </w:rPr>
      </w:pPr>
      <w:r w:rsidRPr="00643993">
        <w:rPr>
          <w:rFonts w:cstheme="minorHAnsi"/>
          <w:b/>
          <w:color w:val="000000"/>
        </w:rPr>
        <w:t>Referee comment</w:t>
      </w:r>
      <w:r w:rsidRPr="00643993">
        <w:rPr>
          <w:rFonts w:cstheme="minorHAnsi"/>
          <w:color w:val="000000"/>
        </w:rPr>
        <w:t xml:space="preserve">: </w:t>
      </w:r>
      <w:r w:rsidR="00243DCE" w:rsidRPr="00643993">
        <w:rPr>
          <w:rFonts w:cstheme="minorHAnsi"/>
          <w:color w:val="000000"/>
        </w:rPr>
        <w:t xml:space="preserve">Section 5.1: The author(s) do not report the orders of integration of the two variables under consideration. It is not sufficient to merely conclude that the two series are not stationary, because the two series may be integrated of a different order (e.g. an I(1) and an I(2) series) in which case the author(s) must discuss the implications for methodology (i.e. whether or not Granger causality is still an appropriate method, relevant data transformations, etc.). </w:t>
      </w:r>
    </w:p>
    <w:p w:rsidR="007823A8" w:rsidRPr="00643993" w:rsidRDefault="007823A8" w:rsidP="007823A8">
      <w:pPr>
        <w:autoSpaceDE w:val="0"/>
        <w:autoSpaceDN w:val="0"/>
        <w:adjustRightInd w:val="0"/>
        <w:spacing w:before="240" w:line="240" w:lineRule="auto"/>
        <w:rPr>
          <w:rFonts w:cstheme="minorHAnsi"/>
          <w:color w:val="1A23D6"/>
        </w:rPr>
      </w:pPr>
      <w:r w:rsidRPr="00643993">
        <w:rPr>
          <w:rFonts w:cstheme="minorHAnsi"/>
          <w:b/>
        </w:rPr>
        <w:t xml:space="preserve">Response to Referee: </w:t>
      </w:r>
      <w:r w:rsidRPr="00643993">
        <w:rPr>
          <w:rFonts w:cstheme="minorHAnsi"/>
        </w:rPr>
        <w:t xml:space="preserve">We have addressed </w:t>
      </w:r>
      <w:r w:rsidR="00A379E9" w:rsidRPr="00643993">
        <w:rPr>
          <w:rFonts w:cstheme="minorHAnsi"/>
        </w:rPr>
        <w:t xml:space="preserve">this comment in Section 4.3 </w:t>
      </w:r>
      <w:r w:rsidRPr="00643993">
        <w:rPr>
          <w:rFonts w:cstheme="minorHAnsi"/>
        </w:rPr>
        <w:t>above.</w:t>
      </w:r>
    </w:p>
    <w:p w:rsidR="00D134DA" w:rsidRPr="00643993" w:rsidRDefault="007823A8" w:rsidP="00605B22">
      <w:pPr>
        <w:pStyle w:val="Default"/>
        <w:jc w:val="both"/>
        <w:rPr>
          <w:rFonts w:asciiTheme="minorHAnsi" w:hAnsiTheme="minorHAnsi" w:cstheme="minorHAnsi"/>
          <w:sz w:val="22"/>
          <w:szCs w:val="22"/>
        </w:rPr>
      </w:pPr>
      <w:r w:rsidRPr="00643993">
        <w:rPr>
          <w:rFonts w:asciiTheme="minorHAnsi" w:hAnsiTheme="minorHAnsi" w:cstheme="minorHAnsi"/>
          <w:b/>
          <w:sz w:val="22"/>
          <w:szCs w:val="22"/>
        </w:rPr>
        <w:t>Referee comment</w:t>
      </w:r>
      <w:r w:rsidRPr="00643993">
        <w:rPr>
          <w:rFonts w:asciiTheme="minorHAnsi" w:hAnsiTheme="minorHAnsi" w:cstheme="minorHAnsi"/>
          <w:sz w:val="22"/>
          <w:szCs w:val="22"/>
        </w:rPr>
        <w:t xml:space="preserve">: </w:t>
      </w:r>
      <w:r w:rsidR="00D134DA" w:rsidRPr="00643993">
        <w:rPr>
          <w:rFonts w:asciiTheme="minorHAnsi" w:hAnsiTheme="minorHAnsi" w:cstheme="minorHAnsi"/>
          <w:sz w:val="22"/>
          <w:szCs w:val="22"/>
        </w:rPr>
        <w:t xml:space="preserve">The author(s) should consider employing a more structural approach that also includes other variables (inflation, variables related to monetary policy and real developments, etc.) which are necessary for the proper specification of the underlying relationships (i.e. some control variables are necessary as two variables seldom influence each other in isolation and making the assumption that they do may lead to misspecification problems, which the author(s) refer to on p. 5 in Section 2.3; reciprocal feedback between commodity and currency markets is likely to be more complicated than the author(s) postulate in their model). </w:t>
      </w:r>
    </w:p>
    <w:p w:rsidR="00BC6D8E" w:rsidRPr="00643993" w:rsidRDefault="00BC6D8E" w:rsidP="00605B22">
      <w:pPr>
        <w:pStyle w:val="Default"/>
        <w:jc w:val="both"/>
        <w:rPr>
          <w:rFonts w:asciiTheme="minorHAnsi" w:hAnsiTheme="minorHAnsi" w:cstheme="minorHAnsi"/>
          <w:sz w:val="23"/>
          <w:szCs w:val="23"/>
        </w:rPr>
      </w:pPr>
    </w:p>
    <w:p w:rsidR="00BC6D8E" w:rsidRPr="00643993" w:rsidRDefault="00055C5F" w:rsidP="00605B22">
      <w:pPr>
        <w:pStyle w:val="Default"/>
        <w:jc w:val="both"/>
        <w:rPr>
          <w:rFonts w:asciiTheme="minorHAnsi" w:hAnsiTheme="minorHAnsi" w:cstheme="minorHAnsi"/>
          <w:sz w:val="22"/>
          <w:szCs w:val="22"/>
        </w:rPr>
      </w:pPr>
      <w:r w:rsidRPr="00643993">
        <w:rPr>
          <w:rFonts w:asciiTheme="minorHAnsi" w:hAnsiTheme="minorHAnsi" w:cstheme="minorHAnsi"/>
          <w:b/>
          <w:sz w:val="22"/>
          <w:szCs w:val="22"/>
        </w:rPr>
        <w:t>Response to Referee:</w:t>
      </w:r>
      <w:r w:rsidRPr="00643993">
        <w:rPr>
          <w:rFonts w:asciiTheme="minorHAnsi" w:hAnsiTheme="minorHAnsi" w:cstheme="minorHAnsi"/>
          <w:sz w:val="22"/>
          <w:szCs w:val="22"/>
        </w:rPr>
        <w:t xml:space="preserve"> </w:t>
      </w:r>
      <w:r w:rsidR="00BC6D8E" w:rsidRPr="00643993">
        <w:rPr>
          <w:rFonts w:asciiTheme="minorHAnsi" w:hAnsiTheme="minorHAnsi" w:cstheme="minorHAnsi"/>
          <w:sz w:val="22"/>
          <w:szCs w:val="22"/>
        </w:rPr>
        <w:t>We have mentioned those in suggestions for further research</w:t>
      </w:r>
      <w:r w:rsidR="00643993" w:rsidRPr="00643993">
        <w:rPr>
          <w:rFonts w:asciiTheme="minorHAnsi" w:hAnsiTheme="minorHAnsi" w:cstheme="minorHAnsi"/>
          <w:sz w:val="22"/>
          <w:szCs w:val="22"/>
        </w:rPr>
        <w:t>.</w:t>
      </w:r>
      <w:r w:rsidR="00BC6D8E" w:rsidRPr="00643993">
        <w:rPr>
          <w:rFonts w:asciiTheme="minorHAnsi" w:hAnsiTheme="minorHAnsi" w:cstheme="minorHAnsi"/>
          <w:sz w:val="22"/>
          <w:szCs w:val="22"/>
        </w:rPr>
        <w:t xml:space="preserve"> </w:t>
      </w:r>
    </w:p>
    <w:p w:rsidR="005D1225" w:rsidRPr="00643993" w:rsidRDefault="005D1225" w:rsidP="00605B22">
      <w:pPr>
        <w:pStyle w:val="Default"/>
        <w:jc w:val="both"/>
        <w:rPr>
          <w:rFonts w:asciiTheme="minorHAnsi" w:hAnsiTheme="minorHAnsi" w:cstheme="minorHAnsi"/>
        </w:rPr>
      </w:pPr>
    </w:p>
    <w:p w:rsidR="005D1225" w:rsidRPr="00643993" w:rsidRDefault="007823A8" w:rsidP="00605B22">
      <w:pPr>
        <w:pStyle w:val="Default"/>
        <w:jc w:val="both"/>
        <w:rPr>
          <w:rFonts w:asciiTheme="minorHAnsi" w:hAnsiTheme="minorHAnsi" w:cstheme="minorHAnsi"/>
          <w:sz w:val="22"/>
          <w:szCs w:val="22"/>
        </w:rPr>
      </w:pPr>
      <w:r w:rsidRPr="00643993">
        <w:rPr>
          <w:rFonts w:asciiTheme="minorHAnsi" w:hAnsiTheme="minorHAnsi" w:cstheme="minorHAnsi"/>
          <w:b/>
          <w:sz w:val="22"/>
          <w:szCs w:val="22"/>
        </w:rPr>
        <w:t>Referee comment</w:t>
      </w:r>
      <w:r w:rsidRPr="00643993">
        <w:rPr>
          <w:rFonts w:asciiTheme="minorHAnsi" w:hAnsiTheme="minorHAnsi" w:cstheme="minorHAnsi"/>
          <w:sz w:val="22"/>
          <w:szCs w:val="22"/>
        </w:rPr>
        <w:t xml:space="preserve">: </w:t>
      </w:r>
      <w:r w:rsidR="005D1225" w:rsidRPr="00643993">
        <w:rPr>
          <w:rFonts w:asciiTheme="minorHAnsi" w:hAnsiTheme="minorHAnsi" w:cstheme="minorHAnsi"/>
          <w:sz w:val="22"/>
          <w:szCs w:val="22"/>
        </w:rPr>
        <w:t xml:space="preserve">The author(s) do not discuss what guided the choice of deterministic variables in their VAR.  </w:t>
      </w:r>
    </w:p>
    <w:p w:rsidR="005D1225" w:rsidRPr="00643993" w:rsidRDefault="005D1225" w:rsidP="00605B22">
      <w:pPr>
        <w:pStyle w:val="Default"/>
        <w:jc w:val="both"/>
        <w:rPr>
          <w:rFonts w:asciiTheme="minorHAnsi" w:hAnsiTheme="minorHAnsi" w:cstheme="minorHAnsi"/>
          <w:sz w:val="23"/>
          <w:szCs w:val="23"/>
        </w:rPr>
      </w:pPr>
    </w:p>
    <w:p w:rsidR="00CC449F" w:rsidRPr="00643993" w:rsidRDefault="00055C5F" w:rsidP="00CC449F">
      <w:pPr>
        <w:jc w:val="both"/>
        <w:rPr>
          <w:rFonts w:cstheme="minorHAnsi"/>
        </w:rPr>
      </w:pPr>
      <w:r w:rsidRPr="00643993">
        <w:rPr>
          <w:rFonts w:cstheme="minorHAnsi"/>
          <w:b/>
        </w:rPr>
        <w:t>Response to Referee:</w:t>
      </w:r>
      <w:r w:rsidRPr="00643993">
        <w:rPr>
          <w:rFonts w:cstheme="minorHAnsi"/>
        </w:rPr>
        <w:t xml:space="preserve"> </w:t>
      </w:r>
      <w:r w:rsidR="00CC449F" w:rsidRPr="00643993">
        <w:rPr>
          <w:rFonts w:cstheme="minorHAnsi"/>
        </w:rPr>
        <w:t>W</w:t>
      </w:r>
      <w:r w:rsidR="00CA3C3C" w:rsidRPr="00643993">
        <w:rPr>
          <w:rFonts w:cstheme="minorHAnsi"/>
        </w:rPr>
        <w:t xml:space="preserve">e have inserted a footnote </w:t>
      </w:r>
      <w:r w:rsidR="00CC449F" w:rsidRPr="00643993">
        <w:rPr>
          <w:rFonts w:cstheme="minorHAnsi"/>
        </w:rPr>
        <w:t>that now explains this.</w:t>
      </w:r>
    </w:p>
    <w:p w:rsidR="00CC449F" w:rsidRPr="00643993" w:rsidRDefault="007823A8" w:rsidP="00CC449F">
      <w:pPr>
        <w:jc w:val="both"/>
        <w:rPr>
          <w:rFonts w:cstheme="minorHAnsi"/>
        </w:rPr>
      </w:pPr>
      <w:r w:rsidRPr="00643993">
        <w:rPr>
          <w:rFonts w:cstheme="minorHAnsi"/>
          <w:b/>
          <w:color w:val="000000"/>
        </w:rPr>
        <w:t>Referee comment</w:t>
      </w:r>
      <w:r w:rsidRPr="00643993">
        <w:rPr>
          <w:rFonts w:cstheme="minorHAnsi"/>
        </w:rPr>
        <w:t xml:space="preserve">: </w:t>
      </w:r>
      <w:r w:rsidR="00CC449F" w:rsidRPr="00643993">
        <w:rPr>
          <w:rFonts w:cstheme="minorHAnsi"/>
        </w:rPr>
        <w:t>The results of a VAR may be very sensitive to the choice of lag length. The use of statistical criteria such as AIC, SIC and HQC are fine, but frequency of the data should also come into consideration - i.e. is one lag sufficient to eliminate all serial correlation present in the monthly data that is employed by this study? If the author(s) impose a maximum of 12 or 24 lags in the lag selection procedure, do all of the criteria select the same amount of lags? Also, do the results change significantly when other lag lengths are used in estimation?</w:t>
      </w:r>
    </w:p>
    <w:p w:rsidR="00E82DE4" w:rsidRPr="00643993" w:rsidRDefault="00055C5F" w:rsidP="00CC449F">
      <w:pPr>
        <w:spacing w:after="0"/>
        <w:jc w:val="both"/>
        <w:rPr>
          <w:rFonts w:eastAsia="Times New Roman" w:cstheme="minorHAnsi"/>
          <w:b/>
        </w:rPr>
      </w:pPr>
      <w:r w:rsidRPr="00643993">
        <w:rPr>
          <w:rFonts w:eastAsia="Times New Roman" w:cstheme="minorHAnsi"/>
          <w:b/>
        </w:rPr>
        <w:t>Response to Referee:</w:t>
      </w:r>
      <w:r w:rsidRPr="00643993">
        <w:rPr>
          <w:rFonts w:eastAsia="Times New Roman" w:cstheme="minorHAnsi"/>
        </w:rPr>
        <w:t xml:space="preserve"> </w:t>
      </w:r>
      <w:r w:rsidR="00E82DE4" w:rsidRPr="00643993">
        <w:rPr>
          <w:rFonts w:eastAsia="Times New Roman" w:cstheme="minorHAnsi"/>
        </w:rPr>
        <w:t>We employed information criteria and lag exclusion test to determine the appropriate lag. The results are consistent and we therefore stick to the information criteria test. All three information criteria soundly select one lag as indicated below (we however do not wish to include these results in the paper as it results in an unnecessary lengthening</w:t>
      </w:r>
      <w:r w:rsidR="007823A8" w:rsidRPr="00643993">
        <w:rPr>
          <w:rFonts w:eastAsia="Times New Roman" w:cstheme="minorHAnsi"/>
        </w:rPr>
        <w:t xml:space="preserve"> of the paper</w:t>
      </w:r>
      <w:r w:rsidR="00E82DE4" w:rsidRPr="00643993">
        <w:rPr>
          <w:rFonts w:eastAsia="Times New Roman" w:cstheme="minorHAnsi"/>
        </w:rPr>
        <w:t>):</w:t>
      </w:r>
    </w:p>
    <w:p w:rsidR="00E82DE4" w:rsidRPr="00643993" w:rsidRDefault="00E82DE4" w:rsidP="00E82DE4">
      <w:pPr>
        <w:spacing w:after="0"/>
        <w:rPr>
          <w:rFonts w:eastAsia="Times New Roman" w:cstheme="minorHAnsi"/>
          <w:b/>
          <w:sz w:val="24"/>
          <w:szCs w:val="24"/>
        </w:rPr>
      </w:pPr>
    </w:p>
    <w:p w:rsidR="00E82DE4" w:rsidRPr="00643993" w:rsidRDefault="00E82DE4" w:rsidP="00E82DE4">
      <w:pPr>
        <w:spacing w:after="0"/>
        <w:rPr>
          <w:rFonts w:eastAsia="Times New Roman" w:cstheme="minorHAnsi"/>
          <w:b/>
          <w:sz w:val="24"/>
          <w:szCs w:val="24"/>
        </w:rPr>
      </w:pPr>
      <w:r w:rsidRPr="00643993">
        <w:rPr>
          <w:rFonts w:eastAsia="Times New Roman" w:cstheme="minorHAnsi"/>
          <w:b/>
          <w:sz w:val="24"/>
          <w:szCs w:val="24"/>
        </w:rPr>
        <w:t>For referee only: Lag Length Selection</w:t>
      </w:r>
    </w:p>
    <w:tbl>
      <w:tblPr>
        <w:tblStyle w:val="TableGrid1"/>
        <w:tblW w:w="7054" w:type="dxa"/>
        <w:tblLook w:val="04A0" w:firstRow="1" w:lastRow="0" w:firstColumn="1" w:lastColumn="0" w:noHBand="0" w:noVBand="1"/>
      </w:tblPr>
      <w:tblGrid>
        <w:gridCol w:w="1160"/>
        <w:gridCol w:w="1050"/>
        <w:gridCol w:w="1276"/>
        <w:gridCol w:w="1158"/>
        <w:gridCol w:w="1134"/>
        <w:gridCol w:w="1276"/>
      </w:tblGrid>
      <w:tr w:rsidR="00E82DE4" w:rsidRPr="00643993" w:rsidTr="00E366C3">
        <w:trPr>
          <w:trHeight w:val="300"/>
        </w:trPr>
        <w:tc>
          <w:tcPr>
            <w:tcW w:w="1160" w:type="dxa"/>
            <w:noWrap/>
            <w:hideMark/>
          </w:tcPr>
          <w:p w:rsidR="00E82DE4" w:rsidRPr="00643993" w:rsidRDefault="00E82DE4" w:rsidP="00E82DE4">
            <w:pPr>
              <w:rPr>
                <w:rFonts w:eastAsia="Times New Roman" w:cstheme="minorHAnsi"/>
                <w:color w:val="000000"/>
              </w:rPr>
            </w:pPr>
            <w:r w:rsidRPr="00643993">
              <w:rPr>
                <w:rFonts w:eastAsia="Times New Roman" w:cstheme="minorHAnsi"/>
                <w:color w:val="000000"/>
              </w:rPr>
              <w:t>Lag</w:t>
            </w:r>
          </w:p>
        </w:tc>
        <w:tc>
          <w:tcPr>
            <w:tcW w:w="1050" w:type="dxa"/>
          </w:tcPr>
          <w:p w:rsidR="00E82DE4" w:rsidRPr="00643993" w:rsidRDefault="00E82DE4" w:rsidP="00E82DE4">
            <w:pPr>
              <w:rPr>
                <w:rFonts w:eastAsia="Times New Roman" w:cstheme="minorHAnsi"/>
                <w:color w:val="000000"/>
              </w:rPr>
            </w:pPr>
            <w:proofErr w:type="spellStart"/>
            <w:r w:rsidRPr="00643993">
              <w:rPr>
                <w:rFonts w:eastAsia="Times New Roman" w:cstheme="minorHAnsi"/>
                <w:color w:val="000000"/>
              </w:rPr>
              <w:t>LogL</w:t>
            </w:r>
            <w:proofErr w:type="spellEnd"/>
          </w:p>
        </w:tc>
        <w:tc>
          <w:tcPr>
            <w:tcW w:w="1276" w:type="dxa"/>
          </w:tcPr>
          <w:p w:rsidR="00E82DE4" w:rsidRPr="00643993" w:rsidRDefault="00E82DE4" w:rsidP="00E82DE4">
            <w:pPr>
              <w:rPr>
                <w:rFonts w:eastAsia="Times New Roman" w:cstheme="minorHAnsi"/>
                <w:color w:val="000000"/>
              </w:rPr>
            </w:pPr>
            <w:r w:rsidRPr="00643993">
              <w:rPr>
                <w:rFonts w:eastAsia="Times New Roman" w:cstheme="minorHAnsi"/>
                <w:color w:val="000000"/>
              </w:rPr>
              <w:t>LR</w:t>
            </w:r>
          </w:p>
        </w:tc>
        <w:tc>
          <w:tcPr>
            <w:tcW w:w="1158" w:type="dxa"/>
          </w:tcPr>
          <w:p w:rsidR="00E82DE4" w:rsidRPr="00643993" w:rsidRDefault="00E82DE4" w:rsidP="00E82DE4">
            <w:pPr>
              <w:rPr>
                <w:rFonts w:eastAsia="Times New Roman" w:cstheme="minorHAnsi"/>
                <w:color w:val="000000"/>
              </w:rPr>
            </w:pPr>
            <w:r w:rsidRPr="00643993">
              <w:rPr>
                <w:rFonts w:eastAsia="Times New Roman" w:cstheme="minorHAnsi"/>
                <w:color w:val="000000"/>
              </w:rPr>
              <w:t>AIC</w:t>
            </w:r>
          </w:p>
        </w:tc>
        <w:tc>
          <w:tcPr>
            <w:tcW w:w="1134" w:type="dxa"/>
          </w:tcPr>
          <w:p w:rsidR="00E82DE4" w:rsidRPr="00643993" w:rsidRDefault="00E82DE4" w:rsidP="00E82DE4">
            <w:pPr>
              <w:rPr>
                <w:rFonts w:eastAsia="Times New Roman" w:cstheme="minorHAnsi"/>
                <w:color w:val="000000"/>
              </w:rPr>
            </w:pPr>
            <w:r w:rsidRPr="00643993">
              <w:rPr>
                <w:rFonts w:eastAsia="Times New Roman" w:cstheme="minorHAnsi"/>
                <w:color w:val="000000"/>
              </w:rPr>
              <w:t>SC</w:t>
            </w:r>
          </w:p>
        </w:tc>
        <w:tc>
          <w:tcPr>
            <w:tcW w:w="1276" w:type="dxa"/>
          </w:tcPr>
          <w:p w:rsidR="00E82DE4" w:rsidRPr="00643993" w:rsidRDefault="00E82DE4" w:rsidP="00E82DE4">
            <w:pPr>
              <w:rPr>
                <w:rFonts w:eastAsia="Times New Roman" w:cstheme="minorHAnsi"/>
                <w:color w:val="000000"/>
              </w:rPr>
            </w:pPr>
            <w:r w:rsidRPr="00643993">
              <w:rPr>
                <w:rFonts w:eastAsia="Times New Roman" w:cstheme="minorHAnsi"/>
                <w:color w:val="000000"/>
              </w:rPr>
              <w:t>HQ</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0</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611.956</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NA</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-7.527</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-7.413</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-7.481</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highlight w:val="yellow"/>
              </w:rPr>
            </w:pPr>
            <w:r w:rsidRPr="00643993">
              <w:rPr>
                <w:rFonts w:eastAsia="Times New Roman" w:cstheme="minorHAnsi"/>
                <w:color w:val="000000"/>
                <w:highlight w:val="yellow"/>
              </w:rPr>
              <w:t>1</w:t>
            </w:r>
          </w:p>
        </w:tc>
        <w:tc>
          <w:tcPr>
            <w:tcW w:w="1050" w:type="dxa"/>
          </w:tcPr>
          <w:p w:rsidR="00E82DE4" w:rsidRPr="00643993" w:rsidRDefault="00E82DE4" w:rsidP="00E82DE4">
            <w:pPr>
              <w:jc w:val="right"/>
              <w:rPr>
                <w:rFonts w:eastAsia="Times New Roman" w:cstheme="minorHAnsi"/>
                <w:color w:val="000000"/>
                <w:highlight w:val="yellow"/>
              </w:rPr>
            </w:pPr>
            <w:r w:rsidRPr="00643993">
              <w:rPr>
                <w:rFonts w:eastAsia="Times New Roman" w:cstheme="minorHAnsi"/>
                <w:color w:val="000000"/>
                <w:highlight w:val="yellow"/>
              </w:rPr>
              <w:t>635.514</w:t>
            </w:r>
          </w:p>
        </w:tc>
        <w:tc>
          <w:tcPr>
            <w:tcW w:w="1276" w:type="dxa"/>
          </w:tcPr>
          <w:p w:rsidR="00E82DE4" w:rsidRPr="00643993" w:rsidRDefault="00E82DE4" w:rsidP="00E82DE4">
            <w:pPr>
              <w:rPr>
                <w:rFonts w:eastAsia="Times New Roman" w:cstheme="minorHAnsi"/>
                <w:color w:val="000000"/>
                <w:highlight w:val="yellow"/>
              </w:rPr>
            </w:pPr>
            <w:r w:rsidRPr="00643993">
              <w:rPr>
                <w:rFonts w:eastAsia="Times New Roman" w:cstheme="minorHAnsi"/>
                <w:color w:val="000000"/>
                <w:highlight w:val="yellow"/>
              </w:rPr>
              <w:t>45.6534*</w:t>
            </w:r>
          </w:p>
        </w:tc>
        <w:tc>
          <w:tcPr>
            <w:tcW w:w="1158" w:type="dxa"/>
          </w:tcPr>
          <w:p w:rsidR="00E82DE4" w:rsidRPr="00643993" w:rsidRDefault="00E82DE4" w:rsidP="00E82DE4">
            <w:pPr>
              <w:rPr>
                <w:rFonts w:eastAsia="Times New Roman" w:cstheme="minorHAnsi"/>
                <w:color w:val="000000"/>
                <w:highlight w:val="yellow"/>
              </w:rPr>
            </w:pPr>
            <w:r w:rsidRPr="00643993">
              <w:rPr>
                <w:rFonts w:eastAsia="Times New Roman" w:cstheme="minorHAnsi"/>
                <w:color w:val="000000"/>
                <w:highlight w:val="yellow"/>
              </w:rPr>
              <w:t>7.7703*</w:t>
            </w:r>
          </w:p>
        </w:tc>
        <w:tc>
          <w:tcPr>
            <w:tcW w:w="1134" w:type="dxa"/>
          </w:tcPr>
          <w:p w:rsidR="00E82DE4" w:rsidRPr="00643993" w:rsidRDefault="00E82DE4" w:rsidP="00E82DE4">
            <w:pPr>
              <w:rPr>
                <w:rFonts w:eastAsia="Times New Roman" w:cstheme="minorHAnsi"/>
                <w:color w:val="000000"/>
                <w:highlight w:val="yellow"/>
              </w:rPr>
            </w:pPr>
            <w:r w:rsidRPr="00643993">
              <w:rPr>
                <w:rFonts w:eastAsia="Times New Roman" w:cstheme="minorHAnsi"/>
                <w:color w:val="000000"/>
                <w:highlight w:val="yellow"/>
              </w:rPr>
              <w:t>7.5789*</w:t>
            </w:r>
          </w:p>
        </w:tc>
        <w:tc>
          <w:tcPr>
            <w:tcW w:w="1276" w:type="dxa"/>
          </w:tcPr>
          <w:p w:rsidR="00E82DE4" w:rsidRPr="00643993" w:rsidRDefault="00E82DE4" w:rsidP="00E82DE4">
            <w:pPr>
              <w:rPr>
                <w:rFonts w:eastAsia="Times New Roman" w:cstheme="minorHAnsi"/>
                <w:color w:val="000000"/>
                <w:highlight w:val="yellow"/>
              </w:rPr>
            </w:pPr>
            <w:r w:rsidRPr="00643993">
              <w:rPr>
                <w:rFonts w:eastAsia="Times New Roman" w:cstheme="minorHAnsi"/>
                <w:color w:val="000000"/>
                <w:highlight w:val="yellow"/>
              </w:rPr>
              <w:t>7.6926*</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3</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637.551</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3.897</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-7.746</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-7.478</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-7.637</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4</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638.797</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2.352</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-7.712</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-7.367</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-7.572</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5</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643.632</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9.010</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-7.722</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-7.301</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-7.551</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646.205</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4.730</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-7.704</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-7.207</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-7.502</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648.661</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4.454</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-7.685</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-7.111</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-7.452</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8</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650.576</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3.426</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-7.659</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-7.009</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-7.395</w:t>
            </w:r>
          </w:p>
        </w:tc>
      </w:tr>
      <w:tr w:rsidR="00E82DE4" w:rsidRPr="00643993" w:rsidTr="00E366C3">
        <w:trPr>
          <w:trHeight w:val="315"/>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9</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655.118</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8.012</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-7.666</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-6.939</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-7.371</w:t>
            </w:r>
          </w:p>
        </w:tc>
      </w:tr>
      <w:tr w:rsidR="00E82DE4" w:rsidRPr="00643993" w:rsidTr="00E366C3">
        <w:trPr>
          <w:trHeight w:val="300"/>
        </w:trPr>
        <w:tc>
          <w:tcPr>
            <w:tcW w:w="1160" w:type="dxa"/>
            <w:noWrap/>
            <w:hideMark/>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10</w:t>
            </w:r>
          </w:p>
        </w:tc>
        <w:tc>
          <w:tcPr>
            <w:tcW w:w="1050"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658.387</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5.685</w:t>
            </w:r>
          </w:p>
        </w:tc>
        <w:tc>
          <w:tcPr>
            <w:tcW w:w="1158"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-7.657</w:t>
            </w:r>
          </w:p>
        </w:tc>
        <w:tc>
          <w:tcPr>
            <w:tcW w:w="1134"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-6.853</w:t>
            </w:r>
          </w:p>
        </w:tc>
        <w:tc>
          <w:tcPr>
            <w:tcW w:w="1276" w:type="dxa"/>
          </w:tcPr>
          <w:p w:rsidR="00E82DE4" w:rsidRPr="00643993" w:rsidRDefault="00E82DE4" w:rsidP="00E82DE4">
            <w:pPr>
              <w:jc w:val="right"/>
              <w:rPr>
                <w:rFonts w:eastAsia="Times New Roman" w:cstheme="minorHAnsi"/>
                <w:color w:val="000000"/>
              </w:rPr>
            </w:pPr>
            <w:r w:rsidRPr="00643993">
              <w:rPr>
                <w:rFonts w:eastAsia="Times New Roman" w:cstheme="minorHAnsi"/>
                <w:color w:val="000000"/>
              </w:rPr>
              <w:t>-7.331</w:t>
            </w:r>
          </w:p>
        </w:tc>
      </w:tr>
    </w:tbl>
    <w:p w:rsidR="00E82DE4" w:rsidRPr="00643993" w:rsidRDefault="00E82DE4" w:rsidP="00E82DE4">
      <w:pPr>
        <w:spacing w:after="0" w:line="240" w:lineRule="auto"/>
        <w:rPr>
          <w:rFonts w:eastAsia="Calibri" w:cstheme="minorHAnsi"/>
          <w:sz w:val="20"/>
          <w:szCs w:val="20"/>
        </w:rPr>
      </w:pPr>
      <w:r w:rsidRPr="00643993">
        <w:rPr>
          <w:rFonts w:eastAsia="Calibri" w:cstheme="minorHAnsi"/>
          <w:b/>
          <w:sz w:val="20"/>
          <w:szCs w:val="20"/>
          <w:u w:val="single"/>
        </w:rPr>
        <w:t>Notes</w:t>
      </w:r>
      <w:r w:rsidRPr="00643993">
        <w:rPr>
          <w:rFonts w:eastAsia="Calibri" w:cstheme="minorHAnsi"/>
          <w:sz w:val="20"/>
          <w:szCs w:val="20"/>
        </w:rPr>
        <w:t xml:space="preserve">:* indicates lag order selected by the criterion.  LR: sequential modified LR test statistic </w:t>
      </w:r>
    </w:p>
    <w:p w:rsidR="00E82DE4" w:rsidRPr="00643993" w:rsidRDefault="00E82DE4" w:rsidP="00E82DE4">
      <w:pPr>
        <w:spacing w:after="0" w:line="240" w:lineRule="auto"/>
        <w:rPr>
          <w:rFonts w:eastAsia="Times New Roman" w:cstheme="minorHAnsi"/>
          <w:color w:val="000000"/>
          <w:sz w:val="20"/>
          <w:szCs w:val="20"/>
        </w:rPr>
      </w:pPr>
      <w:r w:rsidRPr="00643993">
        <w:rPr>
          <w:rFonts w:eastAsia="Calibri" w:cstheme="minorHAnsi"/>
          <w:sz w:val="20"/>
          <w:szCs w:val="20"/>
        </w:rPr>
        <w:t>(</w:t>
      </w:r>
      <w:proofErr w:type="gramStart"/>
      <w:r w:rsidRPr="00643993">
        <w:rPr>
          <w:rFonts w:eastAsia="Calibri" w:cstheme="minorHAnsi"/>
          <w:sz w:val="20"/>
          <w:szCs w:val="20"/>
        </w:rPr>
        <w:t>each</w:t>
      </w:r>
      <w:proofErr w:type="gramEnd"/>
      <w:r w:rsidRPr="00643993">
        <w:rPr>
          <w:rFonts w:eastAsia="Calibri" w:cstheme="minorHAnsi"/>
          <w:sz w:val="20"/>
          <w:szCs w:val="20"/>
        </w:rPr>
        <w:t xml:space="preserve"> test at 5% level).  AIC: </w:t>
      </w:r>
      <w:proofErr w:type="spellStart"/>
      <w:r w:rsidRPr="00643993">
        <w:rPr>
          <w:rFonts w:eastAsia="Calibri" w:cstheme="minorHAnsi"/>
          <w:sz w:val="20"/>
          <w:szCs w:val="20"/>
        </w:rPr>
        <w:t>Akaike</w:t>
      </w:r>
      <w:proofErr w:type="spellEnd"/>
      <w:r w:rsidRPr="00643993">
        <w:rPr>
          <w:rFonts w:eastAsia="Calibri" w:cstheme="minorHAnsi"/>
          <w:sz w:val="20"/>
          <w:szCs w:val="20"/>
        </w:rPr>
        <w:t xml:space="preserve"> information criterion. </w:t>
      </w:r>
      <w:r w:rsidRPr="00643993">
        <w:rPr>
          <w:rFonts w:eastAsia="Times New Roman" w:cstheme="minorHAnsi"/>
          <w:color w:val="000000"/>
          <w:sz w:val="20"/>
          <w:szCs w:val="20"/>
        </w:rPr>
        <w:t> SC: Schwarz information</w:t>
      </w:r>
    </w:p>
    <w:p w:rsidR="00E82DE4" w:rsidRPr="00643993" w:rsidRDefault="00E82DE4" w:rsidP="00E82DE4">
      <w:pPr>
        <w:spacing w:after="0" w:line="240" w:lineRule="auto"/>
        <w:rPr>
          <w:rFonts w:eastAsia="Calibri" w:cstheme="minorHAnsi"/>
          <w:sz w:val="20"/>
          <w:szCs w:val="20"/>
        </w:rPr>
      </w:pPr>
      <w:r w:rsidRPr="00643993">
        <w:rPr>
          <w:rFonts w:eastAsia="Times New Roman" w:cstheme="minorHAnsi"/>
          <w:color w:val="000000"/>
          <w:sz w:val="20"/>
          <w:szCs w:val="20"/>
        </w:rPr>
        <w:t xml:space="preserve"> </w:t>
      </w:r>
      <w:proofErr w:type="gramStart"/>
      <w:r w:rsidRPr="00643993">
        <w:rPr>
          <w:rFonts w:eastAsia="Times New Roman" w:cstheme="minorHAnsi"/>
          <w:color w:val="000000"/>
          <w:sz w:val="20"/>
          <w:szCs w:val="20"/>
        </w:rPr>
        <w:t>criterion</w:t>
      </w:r>
      <w:proofErr w:type="gramEnd"/>
      <w:r w:rsidRPr="00643993">
        <w:rPr>
          <w:rFonts w:eastAsia="Times New Roman" w:cstheme="minorHAnsi"/>
          <w:color w:val="000000"/>
          <w:sz w:val="20"/>
          <w:szCs w:val="20"/>
        </w:rPr>
        <w:t xml:space="preserve">.  HQ: </w:t>
      </w:r>
      <w:proofErr w:type="spellStart"/>
      <w:r w:rsidRPr="00643993">
        <w:rPr>
          <w:rFonts w:eastAsia="Times New Roman" w:cstheme="minorHAnsi"/>
          <w:color w:val="000000"/>
          <w:sz w:val="20"/>
          <w:szCs w:val="20"/>
        </w:rPr>
        <w:t>Hannan</w:t>
      </w:r>
      <w:proofErr w:type="spellEnd"/>
      <w:r w:rsidRPr="00643993">
        <w:rPr>
          <w:rFonts w:eastAsia="Times New Roman" w:cstheme="minorHAnsi"/>
          <w:color w:val="000000"/>
          <w:sz w:val="20"/>
          <w:szCs w:val="20"/>
        </w:rPr>
        <w:t>-Quinn information criterion</w:t>
      </w:r>
    </w:p>
    <w:p w:rsidR="00E82DE4" w:rsidRPr="00643993" w:rsidRDefault="00E82DE4" w:rsidP="00E82DE4">
      <w:pPr>
        <w:spacing w:after="0" w:line="240" w:lineRule="auto"/>
        <w:rPr>
          <w:rFonts w:eastAsia="Times New Roman" w:cstheme="minorHAnsi"/>
          <w:color w:val="000000"/>
          <w:sz w:val="18"/>
          <w:szCs w:val="18"/>
        </w:rPr>
      </w:pPr>
      <w:r w:rsidRPr="00643993">
        <w:rPr>
          <w:rFonts w:eastAsia="Times New Roman" w:cstheme="minorHAnsi"/>
          <w:color w:val="000000"/>
          <w:sz w:val="18"/>
          <w:szCs w:val="18"/>
        </w:rPr>
        <w:t>.</w:t>
      </w:r>
    </w:p>
    <w:p w:rsidR="00E82DE4" w:rsidRPr="00643993" w:rsidRDefault="00E82DE4" w:rsidP="00E82DE4">
      <w:pPr>
        <w:autoSpaceDE w:val="0"/>
        <w:autoSpaceDN w:val="0"/>
        <w:adjustRightInd w:val="0"/>
        <w:spacing w:after="0" w:line="240" w:lineRule="auto"/>
        <w:rPr>
          <w:rFonts w:eastAsia="Calibri" w:cstheme="minorHAnsi"/>
          <w:sz w:val="24"/>
          <w:szCs w:val="24"/>
        </w:rPr>
      </w:pPr>
    </w:p>
    <w:p w:rsidR="00E82DE4" w:rsidRPr="00643993" w:rsidRDefault="00E82DE4" w:rsidP="00E82DE4">
      <w:pPr>
        <w:autoSpaceDE w:val="0"/>
        <w:autoSpaceDN w:val="0"/>
        <w:adjustRightInd w:val="0"/>
        <w:spacing w:after="0" w:line="240" w:lineRule="auto"/>
        <w:rPr>
          <w:rFonts w:eastAsia="Calibri" w:cstheme="minorHAnsi"/>
        </w:rPr>
      </w:pPr>
      <w:r w:rsidRPr="00643993">
        <w:rPr>
          <w:rFonts w:eastAsia="Calibri" w:cstheme="minorHAnsi"/>
        </w:rPr>
        <w:t>Further, we tested the residuals of the VAR using an LM test to ensure that they are well behaved. The evidence, presented below, suggests that there is no serial correlation in the residuals</w:t>
      </w:r>
    </w:p>
    <w:p w:rsidR="00E82DE4" w:rsidRPr="00643993" w:rsidRDefault="00E82DE4" w:rsidP="00E82DE4">
      <w:pPr>
        <w:autoSpaceDE w:val="0"/>
        <w:autoSpaceDN w:val="0"/>
        <w:adjustRightInd w:val="0"/>
        <w:spacing w:after="0" w:line="240" w:lineRule="auto"/>
        <w:rPr>
          <w:rFonts w:eastAsia="Calibri" w:cstheme="minorHAnsi"/>
          <w:sz w:val="18"/>
          <w:szCs w:val="18"/>
        </w:rPr>
      </w:pPr>
    </w:p>
    <w:p w:rsidR="00E82DE4" w:rsidRPr="00643993" w:rsidRDefault="00E82DE4" w:rsidP="00E82DE4">
      <w:pPr>
        <w:autoSpaceDE w:val="0"/>
        <w:autoSpaceDN w:val="0"/>
        <w:adjustRightInd w:val="0"/>
        <w:spacing w:after="0" w:line="240" w:lineRule="auto"/>
        <w:rPr>
          <w:rFonts w:eastAsia="Calibri" w:cstheme="minorHAnsi"/>
          <w:sz w:val="18"/>
          <w:szCs w:val="18"/>
        </w:rPr>
      </w:pPr>
    </w:p>
    <w:p w:rsidR="00E82DE4" w:rsidRPr="00643993" w:rsidRDefault="00E82DE4" w:rsidP="00E82DE4">
      <w:pPr>
        <w:autoSpaceDE w:val="0"/>
        <w:autoSpaceDN w:val="0"/>
        <w:adjustRightInd w:val="0"/>
        <w:spacing w:after="0" w:line="240" w:lineRule="auto"/>
        <w:rPr>
          <w:rFonts w:eastAsia="Calibri" w:cstheme="minorHAnsi"/>
          <w:b/>
          <w:sz w:val="24"/>
          <w:szCs w:val="24"/>
        </w:rPr>
      </w:pPr>
      <w:r w:rsidRPr="00643993">
        <w:rPr>
          <w:rFonts w:eastAsia="Calibri" w:cstheme="minorHAnsi"/>
          <w:b/>
          <w:sz w:val="24"/>
          <w:szCs w:val="24"/>
        </w:rPr>
        <w:t>For referee only: Autocorrelation test on lags</w:t>
      </w:r>
    </w:p>
    <w:tbl>
      <w:tblPr>
        <w:tblStyle w:val="LightShading1"/>
        <w:tblpPr w:leftFromText="180" w:rightFromText="180" w:vertAnchor="text" w:tblpY="1"/>
        <w:tblW w:w="0" w:type="auto"/>
        <w:tblLayout w:type="fixed"/>
        <w:tblLook w:val="04A0" w:firstRow="1" w:lastRow="0" w:firstColumn="1" w:lastColumn="0" w:noHBand="0" w:noVBand="1"/>
      </w:tblPr>
      <w:tblGrid>
        <w:gridCol w:w="862"/>
        <w:gridCol w:w="1313"/>
        <w:gridCol w:w="1312"/>
      </w:tblGrid>
      <w:tr w:rsidR="00E82DE4" w:rsidRPr="00643993" w:rsidTr="00E366C3">
        <w:trPr>
          <w:cnfStyle w:val="100000000000" w:firstRow="1" w:lastRow="0" w:firstColumn="0" w:lastColumn="0" w:oddVBand="0" w:evenVBand="0" w:oddHBand="0" w:evenHBand="0" w:firstRowFirstColumn="0" w:firstRowLastColumn="0" w:lastRowFirstColumn="0" w:lastRowLastColumn="0"/>
          <w:trHeight w:hRule="exact" w:val="90"/>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p>
        </w:tc>
        <w:tc>
          <w:tcPr>
            <w:tcW w:w="1313" w:type="dxa"/>
          </w:tcPr>
          <w:p w:rsidR="00E82DE4" w:rsidRPr="00643993" w:rsidRDefault="00E82DE4" w:rsidP="00E82DE4">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p>
        </w:tc>
        <w:tc>
          <w:tcPr>
            <w:tcW w:w="1312" w:type="dxa"/>
          </w:tcPr>
          <w:p w:rsidR="00E82DE4" w:rsidRPr="00643993" w:rsidRDefault="00E82DE4" w:rsidP="00E82DE4">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p>
        </w:tc>
      </w:tr>
      <w:tr w:rsidR="00E82DE4" w:rsidRPr="00643993" w:rsidTr="00E366C3">
        <w:trPr>
          <w:cnfStyle w:val="000000100000" w:firstRow="0" w:lastRow="0" w:firstColumn="0" w:lastColumn="0" w:oddVBand="0" w:evenVBand="0" w:oddHBand="1" w:evenHBand="0" w:firstRowFirstColumn="0" w:firstRowLastColumn="0" w:lastRowFirstColumn="0" w:lastRowLastColumn="0"/>
          <w:trHeight w:hRule="exact" w:val="13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p>
        </w:tc>
        <w:tc>
          <w:tcPr>
            <w:tcW w:w="1313"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312"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82DE4" w:rsidRPr="00643993" w:rsidTr="00E366C3">
        <w:trPr>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rPr>
                <w:rFonts w:eastAsia="Calibri" w:cstheme="minorHAnsi"/>
              </w:rPr>
            </w:pPr>
            <w:r w:rsidRPr="00643993">
              <w:rPr>
                <w:rFonts w:eastAsia="Calibri" w:cstheme="minorHAnsi"/>
              </w:rPr>
              <w:t>Lags</w:t>
            </w:r>
          </w:p>
        </w:tc>
        <w:tc>
          <w:tcPr>
            <w:tcW w:w="1313"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LM-Stat</w:t>
            </w:r>
          </w:p>
        </w:tc>
        <w:tc>
          <w:tcPr>
            <w:tcW w:w="1312"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spellStart"/>
            <w:r w:rsidRPr="00643993">
              <w:rPr>
                <w:rFonts w:eastAsia="Calibri" w:cstheme="minorHAnsi"/>
              </w:rPr>
              <w:t>Prob</w:t>
            </w:r>
            <w:proofErr w:type="spellEnd"/>
          </w:p>
        </w:tc>
      </w:tr>
      <w:tr w:rsidR="00E82DE4" w:rsidRPr="00643993" w:rsidTr="00E366C3">
        <w:trPr>
          <w:cnfStyle w:val="000000100000" w:firstRow="0" w:lastRow="0" w:firstColumn="0" w:lastColumn="0" w:oddVBand="0" w:evenVBand="0" w:oddHBand="1" w:evenHBand="0" w:firstRowFirstColumn="0" w:firstRowLastColumn="0" w:lastRowFirstColumn="0" w:lastRowLastColumn="0"/>
          <w:trHeight w:hRule="exact" w:val="90"/>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p>
        </w:tc>
        <w:tc>
          <w:tcPr>
            <w:tcW w:w="1313"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312"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82DE4" w:rsidRPr="00643993" w:rsidTr="00E366C3">
        <w:trPr>
          <w:trHeight w:hRule="exact" w:val="13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p>
        </w:tc>
        <w:tc>
          <w:tcPr>
            <w:tcW w:w="1313"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312"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82DE4" w:rsidRPr="00643993" w:rsidTr="00E366C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1</w:t>
            </w:r>
          </w:p>
        </w:tc>
        <w:tc>
          <w:tcPr>
            <w:tcW w:w="1313"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4.308893</w:t>
            </w:r>
          </w:p>
        </w:tc>
        <w:tc>
          <w:tcPr>
            <w:tcW w:w="1312"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0.3658</w:t>
            </w:r>
          </w:p>
        </w:tc>
      </w:tr>
      <w:tr w:rsidR="00E82DE4" w:rsidRPr="00643993" w:rsidTr="00E366C3">
        <w:trPr>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2</w:t>
            </w:r>
          </w:p>
        </w:tc>
        <w:tc>
          <w:tcPr>
            <w:tcW w:w="1313"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1.214929</w:t>
            </w:r>
          </w:p>
        </w:tc>
        <w:tc>
          <w:tcPr>
            <w:tcW w:w="1312"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0.8756</w:t>
            </w:r>
          </w:p>
        </w:tc>
      </w:tr>
      <w:tr w:rsidR="00E82DE4" w:rsidRPr="00643993" w:rsidTr="00E366C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3</w:t>
            </w:r>
          </w:p>
        </w:tc>
        <w:tc>
          <w:tcPr>
            <w:tcW w:w="1313"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1.227744</w:t>
            </w:r>
          </w:p>
        </w:tc>
        <w:tc>
          <w:tcPr>
            <w:tcW w:w="1312"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0.8735</w:t>
            </w:r>
          </w:p>
        </w:tc>
      </w:tr>
      <w:tr w:rsidR="00E82DE4" w:rsidRPr="00643993" w:rsidTr="00E366C3">
        <w:trPr>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4</w:t>
            </w:r>
          </w:p>
        </w:tc>
        <w:tc>
          <w:tcPr>
            <w:tcW w:w="1313"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5.026387</w:t>
            </w:r>
          </w:p>
        </w:tc>
        <w:tc>
          <w:tcPr>
            <w:tcW w:w="1312"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0.2846</w:t>
            </w:r>
          </w:p>
        </w:tc>
      </w:tr>
      <w:tr w:rsidR="00E82DE4" w:rsidRPr="00643993" w:rsidTr="00E366C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5</w:t>
            </w:r>
          </w:p>
        </w:tc>
        <w:tc>
          <w:tcPr>
            <w:tcW w:w="1313"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1.600205</w:t>
            </w:r>
          </w:p>
        </w:tc>
        <w:tc>
          <w:tcPr>
            <w:tcW w:w="1312"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0.8088</w:t>
            </w:r>
          </w:p>
        </w:tc>
      </w:tr>
      <w:tr w:rsidR="00E82DE4" w:rsidRPr="00643993" w:rsidTr="00E366C3">
        <w:trPr>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6</w:t>
            </w:r>
          </w:p>
        </w:tc>
        <w:tc>
          <w:tcPr>
            <w:tcW w:w="1313"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4.417113</w:t>
            </w:r>
          </w:p>
        </w:tc>
        <w:tc>
          <w:tcPr>
            <w:tcW w:w="1312"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0.3525</w:t>
            </w:r>
          </w:p>
        </w:tc>
      </w:tr>
      <w:tr w:rsidR="00E82DE4" w:rsidRPr="00643993" w:rsidTr="00E366C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7</w:t>
            </w:r>
          </w:p>
        </w:tc>
        <w:tc>
          <w:tcPr>
            <w:tcW w:w="1313"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5.610825</w:t>
            </w:r>
          </w:p>
        </w:tc>
        <w:tc>
          <w:tcPr>
            <w:tcW w:w="1312"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0.2302</w:t>
            </w:r>
          </w:p>
        </w:tc>
      </w:tr>
      <w:tr w:rsidR="00E82DE4" w:rsidRPr="00643993" w:rsidTr="00E366C3">
        <w:trPr>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8</w:t>
            </w:r>
          </w:p>
        </w:tc>
        <w:tc>
          <w:tcPr>
            <w:tcW w:w="1313"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0.799329</w:t>
            </w:r>
          </w:p>
        </w:tc>
        <w:tc>
          <w:tcPr>
            <w:tcW w:w="1312"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0.9385</w:t>
            </w:r>
          </w:p>
        </w:tc>
      </w:tr>
      <w:tr w:rsidR="00E82DE4" w:rsidRPr="00643993" w:rsidTr="00E366C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9</w:t>
            </w:r>
          </w:p>
        </w:tc>
        <w:tc>
          <w:tcPr>
            <w:tcW w:w="1313"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4.417787</w:t>
            </w:r>
          </w:p>
        </w:tc>
        <w:tc>
          <w:tcPr>
            <w:tcW w:w="1312"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0.3524</w:t>
            </w:r>
          </w:p>
        </w:tc>
      </w:tr>
      <w:tr w:rsidR="00E82DE4" w:rsidRPr="00643993" w:rsidTr="00E366C3">
        <w:trPr>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10</w:t>
            </w:r>
          </w:p>
        </w:tc>
        <w:tc>
          <w:tcPr>
            <w:tcW w:w="1313"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2.673403</w:t>
            </w:r>
          </w:p>
        </w:tc>
        <w:tc>
          <w:tcPr>
            <w:tcW w:w="1312"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0.6139</w:t>
            </w:r>
          </w:p>
        </w:tc>
      </w:tr>
      <w:tr w:rsidR="00E82DE4" w:rsidRPr="00643993" w:rsidTr="00E366C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11</w:t>
            </w:r>
          </w:p>
        </w:tc>
        <w:tc>
          <w:tcPr>
            <w:tcW w:w="1313"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6.109080</w:t>
            </w:r>
          </w:p>
        </w:tc>
        <w:tc>
          <w:tcPr>
            <w:tcW w:w="1312" w:type="dxa"/>
          </w:tcPr>
          <w:p w:rsidR="00E82DE4" w:rsidRPr="00643993" w:rsidRDefault="00E82DE4" w:rsidP="00E82D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43993">
              <w:rPr>
                <w:rFonts w:eastAsia="Calibri" w:cstheme="minorHAnsi"/>
              </w:rPr>
              <w:t> 0.1911</w:t>
            </w:r>
          </w:p>
        </w:tc>
      </w:tr>
      <w:tr w:rsidR="00E82DE4" w:rsidRPr="00643993" w:rsidTr="00E366C3">
        <w:trPr>
          <w:trHeight w:val="225"/>
        </w:trPr>
        <w:tc>
          <w:tcPr>
            <w:cnfStyle w:val="001000000000" w:firstRow="0" w:lastRow="0" w:firstColumn="1" w:lastColumn="0" w:oddVBand="0" w:evenVBand="0" w:oddHBand="0" w:evenHBand="0" w:firstRowFirstColumn="0" w:firstRowLastColumn="0" w:lastRowFirstColumn="0" w:lastRowLastColumn="0"/>
            <w:tcW w:w="862" w:type="dxa"/>
          </w:tcPr>
          <w:p w:rsidR="00E82DE4" w:rsidRPr="00643993" w:rsidRDefault="00E82DE4" w:rsidP="00E82DE4">
            <w:pPr>
              <w:spacing w:after="200" w:line="276" w:lineRule="auto"/>
              <w:jc w:val="center"/>
              <w:rPr>
                <w:rFonts w:eastAsia="Calibri" w:cstheme="minorHAnsi"/>
              </w:rPr>
            </w:pPr>
            <w:r w:rsidRPr="00643993">
              <w:rPr>
                <w:rFonts w:eastAsia="Calibri" w:cstheme="minorHAnsi"/>
              </w:rPr>
              <w:t>12</w:t>
            </w:r>
          </w:p>
        </w:tc>
        <w:tc>
          <w:tcPr>
            <w:tcW w:w="1313"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0.714891</w:t>
            </w:r>
          </w:p>
        </w:tc>
        <w:tc>
          <w:tcPr>
            <w:tcW w:w="1312" w:type="dxa"/>
          </w:tcPr>
          <w:p w:rsidR="00E82DE4" w:rsidRPr="00643993" w:rsidRDefault="00E82DE4" w:rsidP="00E82D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43993">
              <w:rPr>
                <w:rFonts w:eastAsia="Calibri" w:cstheme="minorHAnsi"/>
              </w:rPr>
              <w:t> 0.9495</w:t>
            </w:r>
          </w:p>
        </w:tc>
      </w:tr>
    </w:tbl>
    <w:p w:rsidR="00E82DE4" w:rsidRPr="00643993" w:rsidRDefault="00E82DE4" w:rsidP="00E82DE4">
      <w:pPr>
        <w:spacing w:after="0" w:line="240" w:lineRule="auto"/>
        <w:rPr>
          <w:rFonts w:eastAsia="Calibri" w:cstheme="minorHAnsi"/>
          <w:sz w:val="20"/>
          <w:szCs w:val="20"/>
        </w:rPr>
      </w:pPr>
      <w:r w:rsidRPr="00643993">
        <w:rPr>
          <w:rFonts w:eastAsia="Calibri" w:cstheme="minorHAnsi"/>
          <w:sz w:val="18"/>
          <w:szCs w:val="18"/>
        </w:rPr>
        <w:br w:type="textWrapping" w:clear="all"/>
      </w:r>
      <w:proofErr w:type="spellStart"/>
      <w:r w:rsidRPr="00643993">
        <w:rPr>
          <w:rFonts w:eastAsia="Calibri" w:cstheme="minorHAnsi"/>
          <w:b/>
          <w:sz w:val="20"/>
          <w:szCs w:val="20"/>
          <w:u w:val="single"/>
        </w:rPr>
        <w:t>Notes</w:t>
      </w:r>
      <w:proofErr w:type="gramStart"/>
      <w:r w:rsidRPr="00643993">
        <w:rPr>
          <w:rFonts w:eastAsia="Calibri" w:cstheme="minorHAnsi"/>
          <w:b/>
          <w:sz w:val="20"/>
          <w:szCs w:val="20"/>
          <w:u w:val="single"/>
        </w:rPr>
        <w:t>:</w:t>
      </w:r>
      <w:r w:rsidRPr="00643993">
        <w:rPr>
          <w:rFonts w:eastAsia="Calibri" w:cstheme="minorHAnsi"/>
          <w:sz w:val="20"/>
          <w:szCs w:val="20"/>
        </w:rPr>
        <w:t>The</w:t>
      </w:r>
      <w:proofErr w:type="spellEnd"/>
      <w:proofErr w:type="gramEnd"/>
      <w:r w:rsidRPr="00643993">
        <w:rPr>
          <w:rFonts w:eastAsia="Calibri" w:cstheme="minorHAnsi"/>
          <w:sz w:val="20"/>
          <w:szCs w:val="20"/>
        </w:rPr>
        <w:t xml:space="preserve"> specification tests to our VAR model</w:t>
      </w:r>
    </w:p>
    <w:p w:rsidR="00E82DE4" w:rsidRPr="00643993" w:rsidRDefault="00E82DE4" w:rsidP="00E82DE4">
      <w:pPr>
        <w:spacing w:after="0" w:line="240" w:lineRule="auto"/>
        <w:rPr>
          <w:rFonts w:eastAsia="Calibri" w:cstheme="minorHAnsi"/>
          <w:sz w:val="20"/>
          <w:szCs w:val="20"/>
        </w:rPr>
      </w:pPr>
      <w:r w:rsidRPr="00643993">
        <w:rPr>
          <w:rFonts w:eastAsia="Calibri" w:cstheme="minorHAnsi"/>
          <w:sz w:val="20"/>
          <w:szCs w:val="20"/>
        </w:rPr>
        <w:t xml:space="preserve"> </w:t>
      </w:r>
      <w:proofErr w:type="gramStart"/>
      <w:r w:rsidRPr="00643993">
        <w:rPr>
          <w:rFonts w:eastAsia="Calibri" w:cstheme="minorHAnsi"/>
          <w:sz w:val="20"/>
          <w:szCs w:val="20"/>
        </w:rPr>
        <w:t>for</w:t>
      </w:r>
      <w:proofErr w:type="gramEnd"/>
      <w:r w:rsidRPr="00643993">
        <w:rPr>
          <w:rFonts w:eastAsia="Calibri" w:cstheme="minorHAnsi"/>
          <w:sz w:val="20"/>
          <w:szCs w:val="20"/>
        </w:rPr>
        <w:t xml:space="preserve"> serial independence of the errors, using</w:t>
      </w:r>
    </w:p>
    <w:p w:rsidR="00E82DE4" w:rsidRPr="00643993" w:rsidRDefault="00E82DE4" w:rsidP="00E82DE4">
      <w:pPr>
        <w:spacing w:after="0" w:line="240" w:lineRule="auto"/>
        <w:rPr>
          <w:rFonts w:eastAsia="Times New Roman" w:cstheme="minorHAnsi"/>
          <w:sz w:val="20"/>
          <w:szCs w:val="20"/>
        </w:rPr>
      </w:pPr>
      <w:r w:rsidRPr="00643993">
        <w:rPr>
          <w:rFonts w:eastAsia="Calibri" w:cstheme="minorHAnsi"/>
          <w:sz w:val="20"/>
          <w:szCs w:val="20"/>
        </w:rPr>
        <w:t xml:space="preserve"> </w:t>
      </w:r>
      <w:proofErr w:type="gramStart"/>
      <w:r w:rsidRPr="00643993">
        <w:rPr>
          <w:rFonts w:eastAsia="Calibri" w:cstheme="minorHAnsi"/>
          <w:sz w:val="20"/>
          <w:szCs w:val="20"/>
        </w:rPr>
        <w:t>an</w:t>
      </w:r>
      <w:proofErr w:type="gramEnd"/>
      <w:r w:rsidRPr="00643993">
        <w:rPr>
          <w:rFonts w:eastAsia="Calibri" w:cstheme="minorHAnsi"/>
          <w:sz w:val="20"/>
          <w:szCs w:val="20"/>
        </w:rPr>
        <w:t xml:space="preserve"> LM test:</w:t>
      </w:r>
    </w:p>
    <w:p w:rsidR="003338BA" w:rsidRPr="00643993" w:rsidRDefault="003338BA" w:rsidP="00605B22">
      <w:pPr>
        <w:pStyle w:val="Default"/>
        <w:jc w:val="both"/>
        <w:rPr>
          <w:rFonts w:asciiTheme="minorHAnsi" w:eastAsia="Times New Roman" w:hAnsiTheme="minorHAnsi" w:cstheme="minorHAnsi"/>
          <w:color w:val="auto"/>
        </w:rPr>
      </w:pPr>
    </w:p>
    <w:p w:rsidR="007318B7" w:rsidRPr="00643993" w:rsidRDefault="007823A8" w:rsidP="00605B22">
      <w:pPr>
        <w:pStyle w:val="Default"/>
        <w:jc w:val="both"/>
        <w:rPr>
          <w:rFonts w:asciiTheme="minorHAnsi" w:hAnsiTheme="minorHAnsi" w:cstheme="minorHAnsi"/>
          <w:sz w:val="22"/>
          <w:szCs w:val="22"/>
        </w:rPr>
      </w:pPr>
      <w:r w:rsidRPr="00643993">
        <w:rPr>
          <w:rFonts w:asciiTheme="minorHAnsi" w:hAnsiTheme="minorHAnsi" w:cstheme="minorHAnsi"/>
          <w:b/>
          <w:sz w:val="22"/>
          <w:szCs w:val="22"/>
        </w:rPr>
        <w:t>Referee comment</w:t>
      </w:r>
      <w:r w:rsidRPr="00643993">
        <w:rPr>
          <w:rFonts w:asciiTheme="minorHAnsi" w:hAnsiTheme="minorHAnsi" w:cstheme="minorHAnsi"/>
          <w:sz w:val="22"/>
          <w:szCs w:val="22"/>
        </w:rPr>
        <w:t xml:space="preserve">: </w:t>
      </w:r>
      <w:r w:rsidR="0054099C" w:rsidRPr="00643993">
        <w:rPr>
          <w:rFonts w:asciiTheme="minorHAnsi" w:hAnsiTheme="minorHAnsi" w:cstheme="minorHAnsi"/>
          <w:sz w:val="22"/>
          <w:szCs w:val="22"/>
        </w:rPr>
        <w:t xml:space="preserve">Section 5.3, p. 13, par. 2: The author(s) report the estimated VAR in first differences with a “long run elasticity of -0.3264”. This is an incorrect interpretation as the variables under consideration are not </w:t>
      </w:r>
      <w:proofErr w:type="spellStart"/>
      <w:r w:rsidR="0054099C" w:rsidRPr="00643993">
        <w:rPr>
          <w:rFonts w:asciiTheme="minorHAnsi" w:hAnsiTheme="minorHAnsi" w:cstheme="minorHAnsi"/>
          <w:sz w:val="22"/>
          <w:szCs w:val="22"/>
        </w:rPr>
        <w:t>cointegrated</w:t>
      </w:r>
      <w:proofErr w:type="spellEnd"/>
      <w:r w:rsidR="0054099C" w:rsidRPr="00643993">
        <w:rPr>
          <w:rFonts w:asciiTheme="minorHAnsi" w:hAnsiTheme="minorHAnsi" w:cstheme="minorHAnsi"/>
          <w:sz w:val="22"/>
          <w:szCs w:val="22"/>
        </w:rPr>
        <w:t xml:space="preserve"> and hence there is no long-run relationship between them. </w:t>
      </w:r>
    </w:p>
    <w:p w:rsidR="007318B7" w:rsidRPr="00643993" w:rsidRDefault="007318B7" w:rsidP="00605B22">
      <w:pPr>
        <w:pStyle w:val="Default"/>
        <w:jc w:val="both"/>
        <w:rPr>
          <w:rFonts w:asciiTheme="minorHAnsi" w:hAnsiTheme="minorHAnsi" w:cstheme="minorHAnsi"/>
          <w:sz w:val="22"/>
          <w:szCs w:val="22"/>
        </w:rPr>
      </w:pPr>
    </w:p>
    <w:p w:rsidR="0054099C" w:rsidRPr="00643993" w:rsidRDefault="0054099C" w:rsidP="00605B22">
      <w:pPr>
        <w:pStyle w:val="Default"/>
        <w:jc w:val="both"/>
        <w:rPr>
          <w:rFonts w:asciiTheme="minorHAnsi" w:hAnsiTheme="minorHAnsi" w:cstheme="minorHAnsi"/>
          <w:sz w:val="22"/>
          <w:szCs w:val="22"/>
        </w:rPr>
      </w:pPr>
      <w:r w:rsidRPr="00643993">
        <w:rPr>
          <w:rFonts w:asciiTheme="minorHAnsi" w:hAnsiTheme="minorHAnsi" w:cstheme="minorHAnsi"/>
          <w:b/>
          <w:sz w:val="22"/>
          <w:szCs w:val="22"/>
        </w:rPr>
        <w:t>Response</w:t>
      </w:r>
      <w:r w:rsidR="003338BA" w:rsidRPr="00643993">
        <w:rPr>
          <w:rFonts w:asciiTheme="minorHAnsi" w:hAnsiTheme="minorHAnsi" w:cstheme="minorHAnsi"/>
          <w:b/>
          <w:sz w:val="22"/>
          <w:szCs w:val="22"/>
        </w:rPr>
        <w:t xml:space="preserve"> to Referee</w:t>
      </w:r>
      <w:r w:rsidRPr="00643993">
        <w:rPr>
          <w:rFonts w:asciiTheme="minorHAnsi" w:hAnsiTheme="minorHAnsi" w:cstheme="minorHAnsi"/>
          <w:sz w:val="22"/>
          <w:szCs w:val="22"/>
        </w:rPr>
        <w:t>: we have changed the text to: “</w:t>
      </w:r>
      <w:r w:rsidRPr="00643993">
        <w:rPr>
          <w:rFonts w:asciiTheme="minorHAnsi" w:hAnsiTheme="minorHAnsi" w:cstheme="minorHAnsi"/>
          <w:color w:val="000000" w:themeColor="text1"/>
          <w:sz w:val="22"/>
          <w:szCs w:val="22"/>
        </w:rPr>
        <w:t>From Table 4, w</w:t>
      </w:r>
      <w:r w:rsidRPr="00643993">
        <w:rPr>
          <w:rFonts w:asciiTheme="minorHAnsi" w:hAnsiTheme="minorHAnsi" w:cstheme="minorHAnsi"/>
          <w:sz w:val="22"/>
          <w:szCs w:val="22"/>
        </w:rPr>
        <w:t>e note that commodity price changes belong to the exchange rate equation with an elasticity of -0.3264, ceteris paribus.</w:t>
      </w:r>
      <w:r w:rsidR="007318B7" w:rsidRPr="00643993">
        <w:rPr>
          <w:rFonts w:asciiTheme="minorHAnsi" w:hAnsiTheme="minorHAnsi" w:cstheme="minorHAnsi"/>
          <w:sz w:val="22"/>
          <w:szCs w:val="22"/>
        </w:rPr>
        <w:t>”</w:t>
      </w:r>
    </w:p>
    <w:p w:rsidR="0054099C" w:rsidRPr="00643993" w:rsidRDefault="0054099C" w:rsidP="00605B22">
      <w:pPr>
        <w:pStyle w:val="Default"/>
        <w:jc w:val="both"/>
        <w:rPr>
          <w:rFonts w:asciiTheme="minorHAnsi" w:hAnsiTheme="minorHAnsi" w:cstheme="minorHAnsi"/>
          <w:sz w:val="22"/>
          <w:szCs w:val="22"/>
        </w:rPr>
      </w:pPr>
    </w:p>
    <w:p w:rsidR="0054099C" w:rsidRPr="00643993" w:rsidRDefault="007823A8" w:rsidP="00605B22">
      <w:pPr>
        <w:pStyle w:val="Default"/>
        <w:jc w:val="both"/>
        <w:rPr>
          <w:rFonts w:asciiTheme="minorHAnsi" w:hAnsiTheme="minorHAnsi" w:cstheme="minorHAnsi"/>
          <w:sz w:val="22"/>
          <w:szCs w:val="22"/>
        </w:rPr>
      </w:pPr>
      <w:r w:rsidRPr="00643993">
        <w:rPr>
          <w:rFonts w:asciiTheme="minorHAnsi" w:hAnsiTheme="minorHAnsi" w:cstheme="minorHAnsi"/>
          <w:b/>
          <w:sz w:val="22"/>
          <w:szCs w:val="22"/>
        </w:rPr>
        <w:t>Referee comment</w:t>
      </w:r>
      <w:r w:rsidRPr="00643993">
        <w:rPr>
          <w:rFonts w:asciiTheme="minorHAnsi" w:hAnsiTheme="minorHAnsi" w:cstheme="minorHAnsi"/>
          <w:sz w:val="22"/>
          <w:szCs w:val="22"/>
        </w:rPr>
        <w:t xml:space="preserve">: </w:t>
      </w:r>
      <w:r w:rsidR="0054099C" w:rsidRPr="00643993">
        <w:rPr>
          <w:rFonts w:asciiTheme="minorHAnsi" w:hAnsiTheme="minorHAnsi" w:cstheme="minorHAnsi"/>
          <w:sz w:val="22"/>
          <w:szCs w:val="22"/>
        </w:rPr>
        <w:t xml:space="preserve">Generally, estimated coefficients of a VAR are not reported (because of the number of lags that are employed in the estimation to properly augment the VAR, the coefficients are often subject to the problems associated with </w:t>
      </w:r>
      <w:proofErr w:type="spellStart"/>
      <w:r w:rsidR="0054099C" w:rsidRPr="00643993">
        <w:rPr>
          <w:rFonts w:asciiTheme="minorHAnsi" w:hAnsiTheme="minorHAnsi" w:cstheme="minorHAnsi"/>
          <w:sz w:val="22"/>
          <w:szCs w:val="22"/>
        </w:rPr>
        <w:t>multicollinearity</w:t>
      </w:r>
      <w:proofErr w:type="spellEnd"/>
      <w:r w:rsidR="0054099C" w:rsidRPr="00643993">
        <w:rPr>
          <w:rFonts w:asciiTheme="minorHAnsi" w:hAnsiTheme="minorHAnsi" w:cstheme="minorHAnsi"/>
          <w:sz w:val="22"/>
          <w:szCs w:val="22"/>
        </w:rPr>
        <w:t xml:space="preserve"> and as such have no economic meaning). The author(s) should instead report impulse responses, forecast error variance decompositions and historical decompositions. These should then be interpreted in the context of the research question. </w:t>
      </w:r>
    </w:p>
    <w:p w:rsidR="00605B22" w:rsidRPr="00643993" w:rsidRDefault="00605B22" w:rsidP="00605B22">
      <w:pPr>
        <w:pStyle w:val="Default"/>
        <w:jc w:val="both"/>
        <w:rPr>
          <w:rFonts w:asciiTheme="minorHAnsi" w:hAnsiTheme="minorHAnsi" w:cstheme="minorHAnsi"/>
          <w:sz w:val="23"/>
          <w:szCs w:val="23"/>
        </w:rPr>
      </w:pPr>
    </w:p>
    <w:p w:rsidR="004536AC" w:rsidRPr="00643993" w:rsidRDefault="00605B22" w:rsidP="00605B22">
      <w:pPr>
        <w:jc w:val="both"/>
        <w:rPr>
          <w:rFonts w:cstheme="minorHAnsi"/>
        </w:rPr>
      </w:pPr>
      <w:r w:rsidRPr="00643993">
        <w:rPr>
          <w:rFonts w:cstheme="minorHAnsi"/>
          <w:b/>
        </w:rPr>
        <w:t>Response</w:t>
      </w:r>
      <w:r w:rsidR="00714F8E" w:rsidRPr="00643993">
        <w:rPr>
          <w:rFonts w:cstheme="minorHAnsi"/>
          <w:b/>
        </w:rPr>
        <w:t xml:space="preserve"> to Referee</w:t>
      </w:r>
      <w:r w:rsidRPr="00643993">
        <w:rPr>
          <w:rFonts w:cstheme="minorHAnsi"/>
        </w:rPr>
        <w:t xml:space="preserve">: </w:t>
      </w:r>
      <w:r w:rsidR="004536AC" w:rsidRPr="00643993">
        <w:rPr>
          <w:rFonts w:cstheme="minorHAnsi"/>
        </w:rPr>
        <w:t>We agree with the referee on this point. However, we hesitate carrying out the impulse response and variance decomposition analysis because we have already accounted for this using Granger causality test.</w:t>
      </w:r>
    </w:p>
    <w:p w:rsidR="008C4FFA" w:rsidRPr="00643993" w:rsidRDefault="004536AC" w:rsidP="008C4FFA">
      <w:pPr>
        <w:autoSpaceDE w:val="0"/>
        <w:autoSpaceDN w:val="0"/>
        <w:adjustRightInd w:val="0"/>
        <w:spacing w:after="0" w:line="240" w:lineRule="auto"/>
        <w:jc w:val="both"/>
        <w:rPr>
          <w:rFonts w:cstheme="minorHAnsi"/>
          <w:sz w:val="24"/>
          <w:szCs w:val="24"/>
        </w:rPr>
      </w:pPr>
      <w:r w:rsidRPr="00643993">
        <w:rPr>
          <w:rFonts w:cstheme="minorHAnsi"/>
          <w:sz w:val="24"/>
          <w:szCs w:val="24"/>
        </w:rPr>
        <w:t xml:space="preserve">Impulse responses, variance decomposition and Granger causality are intrinsically linked: </w:t>
      </w:r>
      <w:r w:rsidR="008C4FFA" w:rsidRPr="00643993">
        <w:rPr>
          <w:rFonts w:cstheme="minorHAnsi"/>
          <w:sz w:val="24"/>
          <w:szCs w:val="24"/>
        </w:rPr>
        <w:t>a non-zero impulse response</w:t>
      </w:r>
      <w:r w:rsidRPr="00643993">
        <w:rPr>
          <w:rFonts w:cstheme="minorHAnsi"/>
          <w:sz w:val="24"/>
          <w:szCs w:val="24"/>
        </w:rPr>
        <w:t xml:space="preserve"> (after an appropriate </w:t>
      </w:r>
      <w:proofErr w:type="spellStart"/>
      <w:r w:rsidRPr="00643993">
        <w:rPr>
          <w:rFonts w:cstheme="minorHAnsi"/>
          <w:sz w:val="24"/>
          <w:szCs w:val="24"/>
        </w:rPr>
        <w:t>orthogonalization</w:t>
      </w:r>
      <w:proofErr w:type="spellEnd"/>
      <w:r w:rsidRPr="00643993">
        <w:rPr>
          <w:rFonts w:cstheme="minorHAnsi"/>
          <w:sz w:val="24"/>
          <w:szCs w:val="24"/>
        </w:rPr>
        <w:t>, if required) indicate the presence of Granger causality, while variance decompositions yield natural</w:t>
      </w:r>
      <w:r w:rsidR="008C4FFA" w:rsidRPr="00643993">
        <w:rPr>
          <w:rFonts w:cstheme="minorHAnsi"/>
          <w:sz w:val="24"/>
          <w:szCs w:val="24"/>
        </w:rPr>
        <w:t xml:space="preserve"> </w:t>
      </w:r>
      <w:r w:rsidRPr="00643993">
        <w:rPr>
          <w:rFonts w:cstheme="minorHAnsi"/>
          <w:sz w:val="24"/>
          <w:szCs w:val="24"/>
        </w:rPr>
        <w:t>measures of Granger causal priority.</w:t>
      </w:r>
      <w:r w:rsidR="008C4FFA" w:rsidRPr="00643993">
        <w:rPr>
          <w:rFonts w:cstheme="minorHAnsi"/>
          <w:sz w:val="24"/>
          <w:szCs w:val="24"/>
        </w:rPr>
        <w:t xml:space="preserve"> </w:t>
      </w:r>
      <w:r w:rsidRPr="00643993">
        <w:rPr>
          <w:rFonts w:cstheme="minorHAnsi"/>
          <w:sz w:val="24"/>
          <w:szCs w:val="24"/>
        </w:rPr>
        <w:t>To this end we would like to agree wholeheartedly with Sims(1982, pp 131-132) that i</w:t>
      </w:r>
      <w:r w:rsidR="00966A89" w:rsidRPr="00643993">
        <w:rPr>
          <w:rFonts w:cstheme="minorHAnsi"/>
          <w:sz w:val="24"/>
          <w:szCs w:val="24"/>
        </w:rPr>
        <w:t>n</w:t>
      </w:r>
      <w:r w:rsidRPr="00643993">
        <w:rPr>
          <w:rFonts w:cstheme="minorHAnsi"/>
          <w:sz w:val="24"/>
          <w:szCs w:val="24"/>
        </w:rPr>
        <w:t xml:space="preserve"> discussing VAR systems</w:t>
      </w:r>
      <w:r w:rsidR="00966A89" w:rsidRPr="00643993">
        <w:rPr>
          <w:rFonts w:cstheme="minorHAnsi"/>
          <w:sz w:val="24"/>
          <w:szCs w:val="24"/>
        </w:rPr>
        <w:t xml:space="preserve"> </w:t>
      </w:r>
      <w:r w:rsidRPr="00643993">
        <w:rPr>
          <w:rFonts w:cstheme="minorHAnsi"/>
          <w:sz w:val="24"/>
          <w:szCs w:val="24"/>
        </w:rPr>
        <w:t>‘A natural measure of the degree to which Granger</w:t>
      </w:r>
      <w:r w:rsidR="008C4FFA" w:rsidRPr="00643993">
        <w:rPr>
          <w:rFonts w:cstheme="minorHAnsi"/>
          <w:sz w:val="24"/>
          <w:szCs w:val="24"/>
        </w:rPr>
        <w:t xml:space="preserve"> </w:t>
      </w:r>
      <w:r w:rsidRPr="00643993">
        <w:rPr>
          <w:rFonts w:cstheme="minorHAnsi"/>
          <w:sz w:val="24"/>
          <w:szCs w:val="24"/>
        </w:rPr>
        <w:t>causal priority holds is the percentage of forecast error variance accounted for by a variable’s own</w:t>
      </w:r>
      <w:r w:rsidR="008C4FFA" w:rsidRPr="00643993">
        <w:rPr>
          <w:rFonts w:cstheme="minorHAnsi"/>
          <w:sz w:val="24"/>
          <w:szCs w:val="24"/>
        </w:rPr>
        <w:t xml:space="preserve"> </w:t>
      </w:r>
      <w:r w:rsidRPr="00643993">
        <w:rPr>
          <w:rFonts w:cstheme="minorHAnsi"/>
          <w:sz w:val="24"/>
          <w:szCs w:val="24"/>
        </w:rPr>
        <w:t>future disturbances in a multivariate linear autoregressive model . . . . A variable that is optimally</w:t>
      </w:r>
      <w:r w:rsidR="008C4FFA" w:rsidRPr="00643993">
        <w:rPr>
          <w:rFonts w:cstheme="minorHAnsi"/>
          <w:sz w:val="24"/>
          <w:szCs w:val="24"/>
        </w:rPr>
        <w:t xml:space="preserve"> </w:t>
      </w:r>
      <w:r w:rsidRPr="00643993">
        <w:rPr>
          <w:rFonts w:cstheme="minorHAnsi"/>
          <w:sz w:val="24"/>
          <w:szCs w:val="24"/>
        </w:rPr>
        <w:t>forecast from its own lagged values will have all its forecast error variance accounted for by its</w:t>
      </w:r>
      <w:r w:rsidR="008C4FFA" w:rsidRPr="00643993">
        <w:rPr>
          <w:rFonts w:cstheme="minorHAnsi"/>
          <w:sz w:val="24"/>
          <w:szCs w:val="24"/>
        </w:rPr>
        <w:t xml:space="preserve"> </w:t>
      </w:r>
      <w:r w:rsidRPr="00643993">
        <w:rPr>
          <w:rFonts w:cstheme="minorHAnsi"/>
          <w:sz w:val="24"/>
          <w:szCs w:val="24"/>
        </w:rPr>
        <w:t xml:space="preserve">own disturbances’; see also Sims (1980, pp. 251-2.52) for a similar statement. </w:t>
      </w:r>
      <w:proofErr w:type="gramStart"/>
      <w:r w:rsidRPr="00643993">
        <w:rPr>
          <w:rFonts w:cstheme="minorHAnsi"/>
          <w:sz w:val="24"/>
          <w:szCs w:val="24"/>
        </w:rPr>
        <w:t>Several other</w:t>
      </w:r>
      <w:r w:rsidR="008C4FFA" w:rsidRPr="00643993">
        <w:rPr>
          <w:rFonts w:cstheme="minorHAnsi"/>
          <w:sz w:val="24"/>
          <w:szCs w:val="24"/>
        </w:rPr>
        <w:t xml:space="preserve"> </w:t>
      </w:r>
      <w:r w:rsidRPr="00643993">
        <w:rPr>
          <w:rFonts w:cstheme="minorHAnsi"/>
          <w:sz w:val="24"/>
          <w:szCs w:val="24"/>
        </w:rPr>
        <w:t>authors who have also used</w:t>
      </w:r>
      <w:r w:rsidR="008C4FFA" w:rsidRPr="00643993">
        <w:rPr>
          <w:rFonts w:cstheme="minorHAnsi"/>
          <w:sz w:val="24"/>
          <w:szCs w:val="24"/>
        </w:rPr>
        <w:t xml:space="preserve"> </w:t>
      </w:r>
      <w:r w:rsidRPr="00643993">
        <w:rPr>
          <w:rFonts w:cstheme="minorHAnsi"/>
          <w:sz w:val="24"/>
          <w:szCs w:val="24"/>
        </w:rPr>
        <w:t>the same relationship between variance decompositions and Granger causality; see, for example,</w:t>
      </w:r>
      <w:r w:rsidR="008C4FFA" w:rsidRPr="00643993">
        <w:rPr>
          <w:rFonts w:cstheme="minorHAnsi"/>
          <w:sz w:val="24"/>
          <w:szCs w:val="24"/>
        </w:rPr>
        <w:t xml:space="preserve"> </w:t>
      </w:r>
      <w:proofErr w:type="spellStart"/>
      <w:r w:rsidR="008C4FFA" w:rsidRPr="00643993">
        <w:rPr>
          <w:rFonts w:cstheme="minorHAnsi"/>
          <w:sz w:val="24"/>
          <w:szCs w:val="24"/>
        </w:rPr>
        <w:t>McMillin</w:t>
      </w:r>
      <w:proofErr w:type="spellEnd"/>
      <w:r w:rsidR="008C4FFA" w:rsidRPr="00643993">
        <w:rPr>
          <w:rFonts w:cstheme="minorHAnsi"/>
          <w:sz w:val="24"/>
          <w:szCs w:val="24"/>
        </w:rPr>
        <w:t xml:space="preserve"> (1988, pp. 325-326), </w:t>
      </w:r>
      <w:proofErr w:type="spellStart"/>
      <w:r w:rsidR="008C4FFA" w:rsidRPr="00643993">
        <w:rPr>
          <w:rFonts w:cstheme="minorHAnsi"/>
          <w:sz w:val="24"/>
          <w:szCs w:val="24"/>
        </w:rPr>
        <w:t>Faroque</w:t>
      </w:r>
      <w:proofErr w:type="spellEnd"/>
      <w:r w:rsidR="008C4FFA" w:rsidRPr="00643993">
        <w:rPr>
          <w:rFonts w:cstheme="minorHAnsi"/>
          <w:sz w:val="24"/>
          <w:szCs w:val="24"/>
        </w:rPr>
        <w:t xml:space="preserve"> and </w:t>
      </w:r>
      <w:proofErr w:type="spellStart"/>
      <w:r w:rsidR="008C4FFA" w:rsidRPr="00643993">
        <w:rPr>
          <w:rFonts w:cstheme="minorHAnsi"/>
          <w:sz w:val="24"/>
          <w:szCs w:val="24"/>
        </w:rPr>
        <w:t>Veloce</w:t>
      </w:r>
      <w:proofErr w:type="spellEnd"/>
      <w:r w:rsidR="008C4FFA" w:rsidRPr="00643993">
        <w:rPr>
          <w:rFonts w:cstheme="minorHAnsi"/>
          <w:sz w:val="24"/>
          <w:szCs w:val="24"/>
        </w:rPr>
        <w:t xml:space="preserve"> (1990, p. 281) among others.</w:t>
      </w:r>
      <w:proofErr w:type="gramEnd"/>
    </w:p>
    <w:p w:rsidR="008C4FFA" w:rsidRPr="00643993" w:rsidRDefault="008C4FFA" w:rsidP="008C4FFA">
      <w:pPr>
        <w:autoSpaceDE w:val="0"/>
        <w:autoSpaceDN w:val="0"/>
        <w:adjustRightInd w:val="0"/>
        <w:spacing w:after="0" w:line="240" w:lineRule="auto"/>
        <w:rPr>
          <w:rFonts w:cstheme="minorHAnsi"/>
          <w:sz w:val="17"/>
          <w:szCs w:val="17"/>
        </w:rPr>
      </w:pPr>
    </w:p>
    <w:p w:rsidR="00605B22" w:rsidRPr="00643993" w:rsidRDefault="007823A8" w:rsidP="00605B22">
      <w:pPr>
        <w:autoSpaceDE w:val="0"/>
        <w:autoSpaceDN w:val="0"/>
        <w:adjustRightInd w:val="0"/>
        <w:spacing w:after="0" w:line="240" w:lineRule="auto"/>
        <w:jc w:val="both"/>
        <w:rPr>
          <w:rFonts w:cstheme="minorHAnsi"/>
          <w:color w:val="000000"/>
        </w:rPr>
      </w:pPr>
      <w:r w:rsidRPr="00643993">
        <w:rPr>
          <w:rFonts w:cstheme="minorHAnsi"/>
          <w:b/>
          <w:color w:val="000000"/>
        </w:rPr>
        <w:t>Referee comment</w:t>
      </w:r>
      <w:r w:rsidRPr="00643993">
        <w:rPr>
          <w:rFonts w:cstheme="minorHAnsi"/>
          <w:color w:val="000000"/>
        </w:rPr>
        <w:t xml:space="preserve">: </w:t>
      </w:r>
      <w:r w:rsidR="00605B22" w:rsidRPr="00643993">
        <w:rPr>
          <w:rFonts w:cstheme="minorHAnsi"/>
          <w:color w:val="000000"/>
        </w:rPr>
        <w:t xml:space="preserve">No </w:t>
      </w:r>
      <w:r w:rsidR="00605B22" w:rsidRPr="00643993">
        <w:rPr>
          <w:rFonts w:cstheme="minorHAnsi"/>
          <w:b/>
          <w:color w:val="000000"/>
        </w:rPr>
        <w:t>diagnostic tests</w:t>
      </w:r>
      <w:r w:rsidR="00605B22" w:rsidRPr="00643993">
        <w:rPr>
          <w:rFonts w:cstheme="minorHAnsi"/>
          <w:color w:val="000000"/>
        </w:rPr>
        <w:t xml:space="preserve"> are reported for the estimated VAR (i.e. normality, serial correlation, </w:t>
      </w:r>
      <w:proofErr w:type="spellStart"/>
      <w:r w:rsidR="00605B22" w:rsidRPr="00643993">
        <w:rPr>
          <w:rFonts w:cstheme="minorHAnsi"/>
          <w:color w:val="000000"/>
        </w:rPr>
        <w:t>heteroskedasticity</w:t>
      </w:r>
      <w:proofErr w:type="spellEnd"/>
      <w:r w:rsidR="00605B22" w:rsidRPr="00643993">
        <w:rPr>
          <w:rFonts w:cstheme="minorHAnsi"/>
          <w:color w:val="000000"/>
        </w:rPr>
        <w:t xml:space="preserve">, etc.). </w:t>
      </w:r>
    </w:p>
    <w:p w:rsidR="00605B22" w:rsidRPr="00643993" w:rsidRDefault="00605B22" w:rsidP="00605B22">
      <w:pPr>
        <w:autoSpaceDE w:val="0"/>
        <w:autoSpaceDN w:val="0"/>
        <w:adjustRightInd w:val="0"/>
        <w:spacing w:after="0" w:line="240" w:lineRule="auto"/>
        <w:jc w:val="both"/>
        <w:rPr>
          <w:rFonts w:cstheme="minorHAnsi"/>
          <w:color w:val="000000"/>
          <w:sz w:val="23"/>
          <w:szCs w:val="23"/>
        </w:rPr>
      </w:pPr>
    </w:p>
    <w:p w:rsidR="001A50A0" w:rsidRPr="00643993" w:rsidRDefault="007823A8" w:rsidP="00605B22">
      <w:pPr>
        <w:autoSpaceDE w:val="0"/>
        <w:autoSpaceDN w:val="0"/>
        <w:adjustRightInd w:val="0"/>
        <w:spacing w:after="0" w:line="240" w:lineRule="auto"/>
        <w:jc w:val="both"/>
        <w:rPr>
          <w:rFonts w:cstheme="minorHAnsi"/>
        </w:rPr>
      </w:pPr>
      <w:r w:rsidRPr="00643993">
        <w:rPr>
          <w:rFonts w:cstheme="minorHAnsi"/>
          <w:b/>
        </w:rPr>
        <w:t xml:space="preserve">Response to Referee: </w:t>
      </w:r>
      <w:r w:rsidRPr="00643993">
        <w:rPr>
          <w:rFonts w:cstheme="minorHAnsi"/>
        </w:rPr>
        <w:t>Again we have done this. The VAR is free of serial correlation but surely for the data under consideration, to expect normality would be too high an expec</w:t>
      </w:r>
      <w:r w:rsidR="001A50A0" w:rsidRPr="00643993">
        <w:rPr>
          <w:rFonts w:cstheme="minorHAnsi"/>
        </w:rPr>
        <w:t>tation. We are not reporting all these statistics in the results due to reasons already explained above.</w:t>
      </w:r>
    </w:p>
    <w:p w:rsidR="001A50A0" w:rsidRPr="00643993" w:rsidRDefault="001A50A0" w:rsidP="00605B22">
      <w:pPr>
        <w:autoSpaceDE w:val="0"/>
        <w:autoSpaceDN w:val="0"/>
        <w:adjustRightInd w:val="0"/>
        <w:spacing w:after="0" w:line="240" w:lineRule="auto"/>
        <w:jc w:val="both"/>
        <w:rPr>
          <w:rFonts w:cstheme="minorHAnsi"/>
        </w:rPr>
      </w:pPr>
    </w:p>
    <w:p w:rsidR="00E43836" w:rsidRPr="00643993" w:rsidRDefault="007267EB" w:rsidP="00605B22">
      <w:pPr>
        <w:jc w:val="both"/>
        <w:rPr>
          <w:rFonts w:cstheme="minorHAnsi"/>
        </w:rPr>
      </w:pPr>
      <w:r w:rsidRPr="00643993">
        <w:rPr>
          <w:rFonts w:cstheme="minorHAnsi"/>
          <w:noProof/>
        </w:rPr>
        <w:drawing>
          <wp:inline distT="0" distB="0" distL="0" distR="0" wp14:anchorId="0932728D" wp14:editId="6F6150D4">
            <wp:extent cx="5943600" cy="1073263"/>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43600" cy="1073263"/>
                    </a:xfrm>
                    <a:prstGeom prst="rect">
                      <a:avLst/>
                    </a:prstGeom>
                    <a:noFill/>
                    <a:ln w="9525">
                      <a:noFill/>
                      <a:miter lim="800000"/>
                      <a:headEnd/>
                      <a:tailEnd/>
                    </a:ln>
                  </pic:spPr>
                </pic:pic>
              </a:graphicData>
            </a:graphic>
          </wp:inline>
        </w:drawing>
      </w:r>
    </w:p>
    <w:p w:rsidR="007267EB" w:rsidRPr="00643993" w:rsidRDefault="00714F8E" w:rsidP="00714F8E">
      <w:pPr>
        <w:jc w:val="both"/>
        <w:rPr>
          <w:rFonts w:cstheme="minorHAnsi"/>
        </w:rPr>
      </w:pPr>
      <w:r w:rsidRPr="00643993">
        <w:rPr>
          <w:rFonts w:cstheme="minorHAnsi"/>
          <w:b/>
        </w:rPr>
        <w:t xml:space="preserve">Response to Referee:  </w:t>
      </w:r>
      <w:r w:rsidR="007267EB" w:rsidRPr="00643993">
        <w:rPr>
          <w:rFonts w:cstheme="minorHAnsi"/>
        </w:rPr>
        <w:t xml:space="preserve">We have split Section 2 into two sub-sections. Section 2.1 covers the “currency commodities” literature, whilst Section 2.2 covers the “commodity currencies” literature. </w:t>
      </w:r>
    </w:p>
    <w:p w:rsidR="007267EB" w:rsidRPr="00643993" w:rsidRDefault="007267EB" w:rsidP="00605B22">
      <w:pPr>
        <w:jc w:val="both"/>
        <w:rPr>
          <w:rFonts w:cstheme="minorHAnsi"/>
        </w:rPr>
      </w:pPr>
      <w:r w:rsidRPr="00643993">
        <w:rPr>
          <w:rFonts w:cstheme="minorHAnsi"/>
          <w:noProof/>
        </w:rPr>
        <w:drawing>
          <wp:inline distT="0" distB="0" distL="0" distR="0" wp14:anchorId="0366CB68" wp14:editId="199607F6">
            <wp:extent cx="5943600" cy="739998"/>
            <wp:effectExtent l="1905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5943600" cy="739998"/>
                    </a:xfrm>
                    <a:prstGeom prst="rect">
                      <a:avLst/>
                    </a:prstGeom>
                    <a:noFill/>
                    <a:ln w="9525">
                      <a:noFill/>
                      <a:miter lim="800000"/>
                      <a:headEnd/>
                      <a:tailEnd/>
                    </a:ln>
                  </pic:spPr>
                </pic:pic>
              </a:graphicData>
            </a:graphic>
          </wp:inline>
        </w:drawing>
      </w:r>
    </w:p>
    <w:p w:rsidR="00F4546B" w:rsidRPr="00643993" w:rsidRDefault="00F4546B" w:rsidP="00605B22">
      <w:pPr>
        <w:jc w:val="both"/>
        <w:rPr>
          <w:rFonts w:cstheme="minorHAnsi"/>
          <w:szCs w:val="24"/>
        </w:rPr>
      </w:pPr>
      <w:r w:rsidRPr="00643993">
        <w:rPr>
          <w:rFonts w:cstheme="minorHAnsi"/>
        </w:rPr>
        <w:t xml:space="preserve">We have taken </w:t>
      </w:r>
      <w:r w:rsidR="00937D7A" w:rsidRPr="00643993">
        <w:rPr>
          <w:rFonts w:cstheme="minorHAnsi"/>
        </w:rPr>
        <w:t xml:space="preserve">the relevant </w:t>
      </w:r>
      <w:proofErr w:type="gramStart"/>
      <w:r w:rsidR="00937D7A" w:rsidRPr="00643993">
        <w:rPr>
          <w:rFonts w:cstheme="minorHAnsi"/>
        </w:rPr>
        <w:t xml:space="preserve">section </w:t>
      </w:r>
      <w:r w:rsidRPr="00643993">
        <w:rPr>
          <w:rFonts w:cstheme="minorHAnsi"/>
        </w:rPr>
        <w:t xml:space="preserve"> out</w:t>
      </w:r>
      <w:proofErr w:type="gramEnd"/>
      <w:r w:rsidRPr="00643993">
        <w:rPr>
          <w:rFonts w:cstheme="minorHAnsi"/>
        </w:rPr>
        <w:t xml:space="preserve"> of the paper. </w:t>
      </w:r>
      <w:r w:rsidR="00A94A56" w:rsidRPr="00643993">
        <w:rPr>
          <w:rFonts w:cstheme="minorHAnsi"/>
          <w:szCs w:val="24"/>
        </w:rPr>
        <w:t xml:space="preserve">  </w:t>
      </w:r>
    </w:p>
    <w:p w:rsidR="00A94A56" w:rsidRPr="00643993" w:rsidRDefault="00F4546B" w:rsidP="00605B22">
      <w:pPr>
        <w:jc w:val="both"/>
        <w:rPr>
          <w:rFonts w:cstheme="minorHAnsi"/>
        </w:rPr>
      </w:pPr>
      <w:r w:rsidRPr="00643993">
        <w:rPr>
          <w:rFonts w:cstheme="minorHAnsi"/>
          <w:noProof/>
          <w:szCs w:val="24"/>
        </w:rPr>
        <w:drawing>
          <wp:inline distT="0" distB="0" distL="0" distR="0" wp14:anchorId="2BBC1E2B" wp14:editId="6ADE1B21">
            <wp:extent cx="452437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524375" cy="447675"/>
                    </a:xfrm>
                    <a:prstGeom prst="rect">
                      <a:avLst/>
                    </a:prstGeom>
                    <a:noFill/>
                    <a:ln w="9525">
                      <a:noFill/>
                      <a:miter lim="800000"/>
                      <a:headEnd/>
                      <a:tailEnd/>
                    </a:ln>
                  </pic:spPr>
                </pic:pic>
              </a:graphicData>
            </a:graphic>
          </wp:inline>
        </w:drawing>
      </w:r>
    </w:p>
    <w:p w:rsidR="00272C5A" w:rsidRPr="00643993" w:rsidRDefault="000B4C1B" w:rsidP="00937D7A">
      <w:pPr>
        <w:jc w:val="both"/>
        <w:rPr>
          <w:rFonts w:cstheme="minorHAnsi"/>
        </w:rPr>
      </w:pPr>
      <w:r w:rsidRPr="00643993">
        <w:rPr>
          <w:rFonts w:cstheme="minorHAnsi"/>
          <w:b/>
        </w:rPr>
        <w:t>Response to Referee:</w:t>
      </w:r>
      <w:r w:rsidRPr="00643993">
        <w:rPr>
          <w:rFonts w:cstheme="minorHAnsi"/>
        </w:rPr>
        <w:t xml:space="preserve"> </w:t>
      </w:r>
      <w:r w:rsidR="00EA258D" w:rsidRPr="00643993">
        <w:rPr>
          <w:rFonts w:cstheme="minorHAnsi"/>
        </w:rPr>
        <w:t>Addressed</w:t>
      </w:r>
    </w:p>
    <w:p w:rsidR="008C4FFA" w:rsidRPr="00863871" w:rsidRDefault="008C4FFA" w:rsidP="00937D7A">
      <w:pPr>
        <w:jc w:val="both"/>
        <w:rPr>
          <w:rFonts w:cstheme="minorHAnsi"/>
          <w:b/>
          <w:sz w:val="24"/>
          <w:szCs w:val="24"/>
        </w:rPr>
      </w:pPr>
      <w:r w:rsidRPr="00863871">
        <w:rPr>
          <w:rFonts w:cstheme="minorHAnsi"/>
          <w:b/>
          <w:sz w:val="24"/>
          <w:szCs w:val="24"/>
        </w:rPr>
        <w:t>References</w:t>
      </w:r>
    </w:p>
    <w:p w:rsidR="008C4FFA" w:rsidRPr="00863871" w:rsidRDefault="008C4FFA" w:rsidP="008C4FFA">
      <w:pPr>
        <w:autoSpaceDE w:val="0"/>
        <w:autoSpaceDN w:val="0"/>
        <w:adjustRightInd w:val="0"/>
        <w:spacing w:after="0" w:line="240" w:lineRule="auto"/>
        <w:rPr>
          <w:rFonts w:cstheme="minorHAnsi"/>
          <w:sz w:val="24"/>
          <w:szCs w:val="24"/>
        </w:rPr>
      </w:pPr>
      <w:proofErr w:type="spellStart"/>
      <w:r w:rsidRPr="00863871">
        <w:rPr>
          <w:rFonts w:cstheme="minorHAnsi"/>
          <w:sz w:val="24"/>
          <w:szCs w:val="24"/>
        </w:rPr>
        <w:t>Faroque</w:t>
      </w:r>
      <w:proofErr w:type="spellEnd"/>
      <w:r w:rsidRPr="00863871">
        <w:rPr>
          <w:rFonts w:cstheme="minorHAnsi"/>
          <w:sz w:val="24"/>
          <w:szCs w:val="24"/>
        </w:rPr>
        <w:t xml:space="preserve">, A. and W. </w:t>
      </w:r>
      <w:proofErr w:type="spellStart"/>
      <w:r w:rsidRPr="00863871">
        <w:rPr>
          <w:rFonts w:cstheme="minorHAnsi"/>
          <w:sz w:val="24"/>
          <w:szCs w:val="24"/>
        </w:rPr>
        <w:t>Veloce</w:t>
      </w:r>
      <w:proofErr w:type="spellEnd"/>
      <w:r w:rsidRPr="00863871">
        <w:rPr>
          <w:rFonts w:cstheme="minorHAnsi"/>
          <w:sz w:val="24"/>
          <w:szCs w:val="24"/>
        </w:rPr>
        <w:t>, 1990, Causality and the structure of Canada’s balance of paym</w:t>
      </w:r>
      <w:r w:rsidR="00BB1F22" w:rsidRPr="00863871">
        <w:rPr>
          <w:rFonts w:cstheme="minorHAnsi"/>
          <w:sz w:val="24"/>
          <w:szCs w:val="24"/>
        </w:rPr>
        <w:t xml:space="preserve">ents: Evidence from time series. </w:t>
      </w:r>
      <w:r w:rsidRPr="00863871">
        <w:rPr>
          <w:rFonts w:cstheme="minorHAnsi"/>
          <w:i/>
          <w:sz w:val="24"/>
          <w:szCs w:val="24"/>
        </w:rPr>
        <w:t>Empirical Economics</w:t>
      </w:r>
      <w:r w:rsidRPr="00863871">
        <w:rPr>
          <w:rFonts w:cstheme="minorHAnsi"/>
          <w:sz w:val="24"/>
          <w:szCs w:val="24"/>
        </w:rPr>
        <w:t xml:space="preserve"> 1.5, 267-283.</w:t>
      </w:r>
    </w:p>
    <w:p w:rsidR="008C4FFA" w:rsidRPr="00863871" w:rsidRDefault="008C4FFA" w:rsidP="008C4FFA">
      <w:pPr>
        <w:autoSpaceDE w:val="0"/>
        <w:autoSpaceDN w:val="0"/>
        <w:adjustRightInd w:val="0"/>
        <w:spacing w:after="0" w:line="240" w:lineRule="auto"/>
        <w:rPr>
          <w:rFonts w:cstheme="minorHAnsi"/>
          <w:sz w:val="24"/>
          <w:szCs w:val="24"/>
        </w:rPr>
      </w:pPr>
    </w:p>
    <w:p w:rsidR="008C4FFA" w:rsidRPr="00863871" w:rsidRDefault="008C4FFA" w:rsidP="008C4FFA">
      <w:pPr>
        <w:autoSpaceDE w:val="0"/>
        <w:autoSpaceDN w:val="0"/>
        <w:adjustRightInd w:val="0"/>
        <w:spacing w:after="0" w:line="240" w:lineRule="auto"/>
        <w:rPr>
          <w:rFonts w:cstheme="minorHAnsi"/>
          <w:sz w:val="24"/>
          <w:szCs w:val="24"/>
        </w:rPr>
      </w:pPr>
      <w:proofErr w:type="spellStart"/>
      <w:proofErr w:type="gramStart"/>
      <w:r w:rsidRPr="00863871">
        <w:rPr>
          <w:rFonts w:cstheme="minorHAnsi"/>
          <w:sz w:val="24"/>
          <w:szCs w:val="24"/>
        </w:rPr>
        <w:t>McMillin</w:t>
      </w:r>
      <w:proofErr w:type="spellEnd"/>
      <w:r w:rsidRPr="00863871">
        <w:rPr>
          <w:rFonts w:cstheme="minorHAnsi"/>
          <w:sz w:val="24"/>
          <w:szCs w:val="24"/>
        </w:rPr>
        <w:t xml:space="preserve">, W.D., 1988, Money growth volatility and the </w:t>
      </w:r>
      <w:proofErr w:type="spellStart"/>
      <w:r w:rsidRPr="00863871">
        <w:rPr>
          <w:rFonts w:cstheme="minorHAnsi"/>
          <w:sz w:val="24"/>
          <w:szCs w:val="24"/>
        </w:rPr>
        <w:t>macroeconomy</w:t>
      </w:r>
      <w:proofErr w:type="spellEnd"/>
      <w:r w:rsidR="00BB1F22" w:rsidRPr="00863871">
        <w:rPr>
          <w:rFonts w:cstheme="minorHAnsi"/>
          <w:sz w:val="24"/>
          <w:szCs w:val="24"/>
        </w:rPr>
        <w:t>.</w:t>
      </w:r>
      <w:proofErr w:type="gramEnd"/>
      <w:r w:rsidRPr="00863871">
        <w:rPr>
          <w:rFonts w:cstheme="minorHAnsi"/>
          <w:i/>
          <w:sz w:val="24"/>
          <w:szCs w:val="24"/>
        </w:rPr>
        <w:t xml:space="preserve"> </w:t>
      </w:r>
      <w:proofErr w:type="gramStart"/>
      <w:r w:rsidRPr="00863871">
        <w:rPr>
          <w:rFonts w:cstheme="minorHAnsi"/>
          <w:i/>
          <w:sz w:val="24"/>
          <w:szCs w:val="24"/>
        </w:rPr>
        <w:t>Journal of Money, Credit and Banking</w:t>
      </w:r>
      <w:r w:rsidRPr="00863871">
        <w:rPr>
          <w:rFonts w:cstheme="minorHAnsi"/>
          <w:sz w:val="24"/>
          <w:szCs w:val="24"/>
        </w:rPr>
        <w:t xml:space="preserve"> 20, 319-335.</w:t>
      </w:r>
      <w:proofErr w:type="gramEnd"/>
    </w:p>
    <w:p w:rsidR="008C4FFA" w:rsidRPr="00863871" w:rsidRDefault="008C4FFA" w:rsidP="008C4FFA">
      <w:pPr>
        <w:autoSpaceDE w:val="0"/>
        <w:autoSpaceDN w:val="0"/>
        <w:adjustRightInd w:val="0"/>
        <w:spacing w:after="0" w:line="240" w:lineRule="auto"/>
        <w:rPr>
          <w:rFonts w:cstheme="minorHAnsi"/>
          <w:sz w:val="24"/>
          <w:szCs w:val="24"/>
        </w:rPr>
      </w:pPr>
    </w:p>
    <w:p w:rsidR="008C4FFA" w:rsidRPr="00863871" w:rsidRDefault="008C4FFA" w:rsidP="008C4FFA">
      <w:pPr>
        <w:autoSpaceDE w:val="0"/>
        <w:autoSpaceDN w:val="0"/>
        <w:adjustRightInd w:val="0"/>
        <w:spacing w:after="0" w:line="240" w:lineRule="auto"/>
        <w:rPr>
          <w:rFonts w:cstheme="minorHAnsi"/>
          <w:sz w:val="24"/>
          <w:szCs w:val="24"/>
        </w:rPr>
      </w:pPr>
      <w:r w:rsidRPr="00863871">
        <w:rPr>
          <w:rFonts w:cstheme="minorHAnsi"/>
          <w:sz w:val="24"/>
          <w:szCs w:val="24"/>
        </w:rPr>
        <w:t xml:space="preserve">Sims, C.A., 1980b, Comparison of interwar and </w:t>
      </w:r>
      <w:proofErr w:type="spellStart"/>
      <w:r w:rsidRPr="00863871">
        <w:rPr>
          <w:rFonts w:cstheme="minorHAnsi"/>
          <w:sz w:val="24"/>
          <w:szCs w:val="24"/>
        </w:rPr>
        <w:t>postwar</w:t>
      </w:r>
      <w:proofErr w:type="spellEnd"/>
      <w:r w:rsidRPr="00863871">
        <w:rPr>
          <w:rFonts w:cstheme="minorHAnsi"/>
          <w:sz w:val="24"/>
          <w:szCs w:val="24"/>
        </w:rPr>
        <w:t xml:space="preserve"> business cycles: Monetarism reconsidered</w:t>
      </w:r>
      <w:r w:rsidR="00BB1F22" w:rsidRPr="00863871">
        <w:rPr>
          <w:rFonts w:cstheme="minorHAnsi"/>
          <w:sz w:val="24"/>
          <w:szCs w:val="24"/>
        </w:rPr>
        <w:t>.</w:t>
      </w:r>
      <w:r w:rsidRPr="00863871">
        <w:rPr>
          <w:rFonts w:cstheme="minorHAnsi"/>
          <w:i/>
          <w:sz w:val="24"/>
          <w:szCs w:val="24"/>
        </w:rPr>
        <w:t xml:space="preserve"> American Economic Review </w:t>
      </w:r>
      <w:r w:rsidRPr="00863871">
        <w:rPr>
          <w:rFonts w:cstheme="minorHAnsi"/>
          <w:sz w:val="24"/>
          <w:szCs w:val="24"/>
        </w:rPr>
        <w:t>70, 250-257.</w:t>
      </w:r>
    </w:p>
    <w:p w:rsidR="008C4FFA" w:rsidRPr="00863871" w:rsidRDefault="008C4FFA" w:rsidP="008C4FFA">
      <w:pPr>
        <w:autoSpaceDE w:val="0"/>
        <w:autoSpaceDN w:val="0"/>
        <w:adjustRightInd w:val="0"/>
        <w:spacing w:after="0" w:line="240" w:lineRule="auto"/>
        <w:rPr>
          <w:rFonts w:cstheme="minorHAnsi"/>
          <w:sz w:val="24"/>
          <w:szCs w:val="24"/>
        </w:rPr>
      </w:pPr>
    </w:p>
    <w:p w:rsidR="008C4FFA" w:rsidRPr="00643993" w:rsidRDefault="008C4FFA" w:rsidP="008C4FFA">
      <w:pPr>
        <w:jc w:val="both"/>
        <w:rPr>
          <w:rFonts w:cstheme="minorHAnsi"/>
          <w:sz w:val="24"/>
          <w:szCs w:val="24"/>
        </w:rPr>
      </w:pPr>
      <w:r w:rsidRPr="00863871">
        <w:rPr>
          <w:rFonts w:cstheme="minorHAnsi"/>
          <w:sz w:val="24"/>
          <w:szCs w:val="24"/>
        </w:rPr>
        <w:t>Sims, C.A., 1982, Policy analysis with econometric models</w:t>
      </w:r>
      <w:r w:rsidR="00BB1F22" w:rsidRPr="00863871">
        <w:rPr>
          <w:rFonts w:cstheme="minorHAnsi"/>
          <w:sz w:val="24"/>
          <w:szCs w:val="24"/>
        </w:rPr>
        <w:t>.</w:t>
      </w:r>
      <w:r w:rsidRPr="00863871">
        <w:rPr>
          <w:rFonts w:cstheme="minorHAnsi"/>
          <w:i/>
          <w:sz w:val="24"/>
          <w:szCs w:val="24"/>
        </w:rPr>
        <w:t xml:space="preserve"> Brookings Papers on Economic Activity </w:t>
      </w:r>
      <w:r w:rsidRPr="00863871">
        <w:rPr>
          <w:rFonts w:cstheme="minorHAnsi"/>
          <w:sz w:val="24"/>
          <w:szCs w:val="24"/>
        </w:rPr>
        <w:t>1, 107-164.</w:t>
      </w:r>
    </w:p>
    <w:sectPr w:rsidR="008C4FFA" w:rsidRPr="00643993" w:rsidSect="00AE3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82" w:rsidRDefault="00E81082" w:rsidP="002C62AA">
      <w:pPr>
        <w:spacing w:after="0" w:line="240" w:lineRule="auto"/>
      </w:pPr>
      <w:r>
        <w:separator/>
      </w:r>
    </w:p>
  </w:endnote>
  <w:endnote w:type="continuationSeparator" w:id="0">
    <w:p w:rsidR="00E81082" w:rsidRDefault="00E81082" w:rsidP="002C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82" w:rsidRDefault="00E81082" w:rsidP="002C62AA">
      <w:pPr>
        <w:spacing w:after="0" w:line="240" w:lineRule="auto"/>
      </w:pPr>
      <w:r>
        <w:separator/>
      </w:r>
    </w:p>
  </w:footnote>
  <w:footnote w:type="continuationSeparator" w:id="0">
    <w:p w:rsidR="00E81082" w:rsidRDefault="00E81082" w:rsidP="002C62AA">
      <w:pPr>
        <w:spacing w:after="0" w:line="240" w:lineRule="auto"/>
      </w:pPr>
      <w:r>
        <w:continuationSeparator/>
      </w:r>
    </w:p>
  </w:footnote>
  <w:footnote w:id="1">
    <w:p w:rsidR="002C62AA" w:rsidRPr="002C62AA" w:rsidRDefault="002C62AA" w:rsidP="002C62AA">
      <w:pPr>
        <w:pStyle w:val="FootnoteText"/>
        <w:jc w:val="both"/>
      </w:pPr>
      <w:r>
        <w:rPr>
          <w:rStyle w:val="FootnoteReference"/>
        </w:rPr>
        <w:footnoteRef/>
      </w:r>
      <w:r>
        <w:t xml:space="preserve"> In fact, this may be explained by the fact that the Rand is more driven by short-term capital flows (e.g. carry trades) than the Australian Dollar.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AA"/>
    <w:rsid w:val="000041F5"/>
    <w:rsid w:val="00055C5F"/>
    <w:rsid w:val="00095374"/>
    <w:rsid w:val="000B4C1B"/>
    <w:rsid w:val="000E263C"/>
    <w:rsid w:val="000F7E14"/>
    <w:rsid w:val="001139CE"/>
    <w:rsid w:val="0016303F"/>
    <w:rsid w:val="00186506"/>
    <w:rsid w:val="001A50A0"/>
    <w:rsid w:val="00223B17"/>
    <w:rsid w:val="00243DCE"/>
    <w:rsid w:val="00272C5A"/>
    <w:rsid w:val="002A3D0D"/>
    <w:rsid w:val="002C62AA"/>
    <w:rsid w:val="002F403B"/>
    <w:rsid w:val="002F5CD4"/>
    <w:rsid w:val="0032591E"/>
    <w:rsid w:val="00333797"/>
    <w:rsid w:val="003338BA"/>
    <w:rsid w:val="003C7006"/>
    <w:rsid w:val="003D1867"/>
    <w:rsid w:val="003D5D91"/>
    <w:rsid w:val="00437EDA"/>
    <w:rsid w:val="00443F7E"/>
    <w:rsid w:val="004536AC"/>
    <w:rsid w:val="00471E67"/>
    <w:rsid w:val="004823BB"/>
    <w:rsid w:val="004B6518"/>
    <w:rsid w:val="004B7560"/>
    <w:rsid w:val="004F6342"/>
    <w:rsid w:val="005009A6"/>
    <w:rsid w:val="00533246"/>
    <w:rsid w:val="0054099C"/>
    <w:rsid w:val="0055491E"/>
    <w:rsid w:val="005D1225"/>
    <w:rsid w:val="005E5FAA"/>
    <w:rsid w:val="005F5297"/>
    <w:rsid w:val="006056A4"/>
    <w:rsid w:val="00605B22"/>
    <w:rsid w:val="0062501E"/>
    <w:rsid w:val="00630522"/>
    <w:rsid w:val="00643993"/>
    <w:rsid w:val="00714F8E"/>
    <w:rsid w:val="007267EB"/>
    <w:rsid w:val="007318B7"/>
    <w:rsid w:val="007426A9"/>
    <w:rsid w:val="007823A8"/>
    <w:rsid w:val="007C2254"/>
    <w:rsid w:val="00811C12"/>
    <w:rsid w:val="008378A3"/>
    <w:rsid w:val="008524EA"/>
    <w:rsid w:val="0085482C"/>
    <w:rsid w:val="00863871"/>
    <w:rsid w:val="00871B1C"/>
    <w:rsid w:val="008766D4"/>
    <w:rsid w:val="008951D8"/>
    <w:rsid w:val="008C4FFA"/>
    <w:rsid w:val="008E6BBC"/>
    <w:rsid w:val="00900657"/>
    <w:rsid w:val="00937D7A"/>
    <w:rsid w:val="009622B9"/>
    <w:rsid w:val="00966A89"/>
    <w:rsid w:val="00970D84"/>
    <w:rsid w:val="009B0D92"/>
    <w:rsid w:val="009E0E3D"/>
    <w:rsid w:val="00A251A2"/>
    <w:rsid w:val="00A36B45"/>
    <w:rsid w:val="00A379E9"/>
    <w:rsid w:val="00A52A0D"/>
    <w:rsid w:val="00A73E33"/>
    <w:rsid w:val="00A90E49"/>
    <w:rsid w:val="00A94A56"/>
    <w:rsid w:val="00AA5E7B"/>
    <w:rsid w:val="00AB3440"/>
    <w:rsid w:val="00AC4F05"/>
    <w:rsid w:val="00AE3E78"/>
    <w:rsid w:val="00AE4447"/>
    <w:rsid w:val="00B069A4"/>
    <w:rsid w:val="00B51267"/>
    <w:rsid w:val="00B61BCC"/>
    <w:rsid w:val="00B81B75"/>
    <w:rsid w:val="00BB1F22"/>
    <w:rsid w:val="00BC6D8E"/>
    <w:rsid w:val="00C81E8F"/>
    <w:rsid w:val="00C8550D"/>
    <w:rsid w:val="00C92F62"/>
    <w:rsid w:val="00CA3C3C"/>
    <w:rsid w:val="00CC449F"/>
    <w:rsid w:val="00CE244E"/>
    <w:rsid w:val="00CF5E3E"/>
    <w:rsid w:val="00D02BFA"/>
    <w:rsid w:val="00D134DA"/>
    <w:rsid w:val="00D31E25"/>
    <w:rsid w:val="00D63F8C"/>
    <w:rsid w:val="00D75C81"/>
    <w:rsid w:val="00D76861"/>
    <w:rsid w:val="00E0074E"/>
    <w:rsid w:val="00E06B29"/>
    <w:rsid w:val="00E43836"/>
    <w:rsid w:val="00E81082"/>
    <w:rsid w:val="00E82DE4"/>
    <w:rsid w:val="00EA258D"/>
    <w:rsid w:val="00EC0536"/>
    <w:rsid w:val="00EE4092"/>
    <w:rsid w:val="00F15B3F"/>
    <w:rsid w:val="00F31008"/>
    <w:rsid w:val="00F34266"/>
    <w:rsid w:val="00F376C3"/>
    <w:rsid w:val="00F4546B"/>
    <w:rsid w:val="00F6205E"/>
    <w:rsid w:val="00FA2408"/>
    <w:rsid w:val="00FD79DA"/>
    <w:rsid w:val="00FE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AA"/>
    <w:rPr>
      <w:rFonts w:ascii="Tahoma" w:hAnsi="Tahoma" w:cs="Tahoma"/>
      <w:sz w:val="16"/>
      <w:szCs w:val="16"/>
    </w:rPr>
  </w:style>
  <w:style w:type="paragraph" w:styleId="FootnoteText">
    <w:name w:val="footnote text"/>
    <w:basedOn w:val="Normal"/>
    <w:link w:val="FootnoteTextChar"/>
    <w:uiPriority w:val="99"/>
    <w:semiHidden/>
    <w:unhideWhenUsed/>
    <w:rsid w:val="002C62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2AA"/>
    <w:rPr>
      <w:sz w:val="20"/>
      <w:szCs w:val="20"/>
    </w:rPr>
  </w:style>
  <w:style w:type="character" w:styleId="FootnoteReference">
    <w:name w:val="footnote reference"/>
    <w:basedOn w:val="DefaultParagraphFont"/>
    <w:uiPriority w:val="99"/>
    <w:semiHidden/>
    <w:unhideWhenUsed/>
    <w:rsid w:val="002C62AA"/>
    <w:rPr>
      <w:vertAlign w:val="superscript"/>
    </w:rPr>
  </w:style>
  <w:style w:type="paragraph" w:customStyle="1" w:styleId="Default">
    <w:name w:val="Default"/>
    <w:rsid w:val="00243D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D1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225"/>
  </w:style>
  <w:style w:type="paragraph" w:styleId="Footer">
    <w:name w:val="footer"/>
    <w:basedOn w:val="Normal"/>
    <w:link w:val="FooterChar"/>
    <w:uiPriority w:val="99"/>
    <w:unhideWhenUsed/>
    <w:rsid w:val="005D1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225"/>
  </w:style>
  <w:style w:type="table" w:customStyle="1" w:styleId="TableGrid1">
    <w:name w:val="Table Grid1"/>
    <w:basedOn w:val="TableNormal"/>
    <w:next w:val="TableGrid"/>
    <w:uiPriority w:val="59"/>
    <w:rsid w:val="00E82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E82DE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E82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82D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823A8"/>
    <w:rPr>
      <w:color w:val="808080"/>
    </w:rPr>
  </w:style>
  <w:style w:type="table" w:customStyle="1" w:styleId="TableGrid2">
    <w:name w:val="Table Grid2"/>
    <w:basedOn w:val="TableNormal"/>
    <w:next w:val="TableGrid"/>
    <w:uiPriority w:val="59"/>
    <w:rsid w:val="00A379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AA"/>
    <w:rPr>
      <w:rFonts w:ascii="Tahoma" w:hAnsi="Tahoma" w:cs="Tahoma"/>
      <w:sz w:val="16"/>
      <w:szCs w:val="16"/>
    </w:rPr>
  </w:style>
  <w:style w:type="paragraph" w:styleId="FootnoteText">
    <w:name w:val="footnote text"/>
    <w:basedOn w:val="Normal"/>
    <w:link w:val="FootnoteTextChar"/>
    <w:uiPriority w:val="99"/>
    <w:semiHidden/>
    <w:unhideWhenUsed/>
    <w:rsid w:val="002C62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2AA"/>
    <w:rPr>
      <w:sz w:val="20"/>
      <w:szCs w:val="20"/>
    </w:rPr>
  </w:style>
  <w:style w:type="character" w:styleId="FootnoteReference">
    <w:name w:val="footnote reference"/>
    <w:basedOn w:val="DefaultParagraphFont"/>
    <w:uiPriority w:val="99"/>
    <w:semiHidden/>
    <w:unhideWhenUsed/>
    <w:rsid w:val="002C62AA"/>
    <w:rPr>
      <w:vertAlign w:val="superscript"/>
    </w:rPr>
  </w:style>
  <w:style w:type="paragraph" w:customStyle="1" w:styleId="Default">
    <w:name w:val="Default"/>
    <w:rsid w:val="00243D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D1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225"/>
  </w:style>
  <w:style w:type="paragraph" w:styleId="Footer">
    <w:name w:val="footer"/>
    <w:basedOn w:val="Normal"/>
    <w:link w:val="FooterChar"/>
    <w:uiPriority w:val="99"/>
    <w:unhideWhenUsed/>
    <w:rsid w:val="005D1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225"/>
  </w:style>
  <w:style w:type="table" w:customStyle="1" w:styleId="TableGrid1">
    <w:name w:val="Table Grid1"/>
    <w:basedOn w:val="TableNormal"/>
    <w:next w:val="TableGrid"/>
    <w:uiPriority w:val="59"/>
    <w:rsid w:val="00E82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E82DE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E82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82D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823A8"/>
    <w:rPr>
      <w:color w:val="808080"/>
    </w:rPr>
  </w:style>
  <w:style w:type="table" w:customStyle="1" w:styleId="TableGrid2">
    <w:name w:val="Table Grid2"/>
    <w:basedOn w:val="TableNormal"/>
    <w:next w:val="TableGrid"/>
    <w:uiPriority w:val="59"/>
    <w:rsid w:val="00A379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CD530-86A8-49F5-866F-B5D46FDC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User</cp:lastModifiedBy>
  <cp:revision>2</cp:revision>
  <cp:lastPrinted>2013-11-28T08:54:00Z</cp:lastPrinted>
  <dcterms:created xsi:type="dcterms:W3CDTF">2014-01-09T12:59:00Z</dcterms:created>
  <dcterms:modified xsi:type="dcterms:W3CDTF">2014-01-09T12:59:00Z</dcterms:modified>
</cp:coreProperties>
</file>