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3969"/>
      </w:tblGrid>
      <w:tr w:rsidR="005119F8" w:rsidTr="005119F8">
        <w:tc>
          <w:tcPr>
            <w:tcW w:w="3369" w:type="dxa"/>
          </w:tcPr>
          <w:p w:rsidR="005119F8" w:rsidRPr="005119F8" w:rsidRDefault="005119F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119F8">
              <w:rPr>
                <w:b/>
                <w:sz w:val="28"/>
                <w:szCs w:val="28"/>
              </w:rPr>
              <w:t>Reviewer B</w:t>
            </w:r>
          </w:p>
        </w:tc>
        <w:tc>
          <w:tcPr>
            <w:tcW w:w="3260" w:type="dxa"/>
          </w:tcPr>
          <w:p w:rsidR="005119F8" w:rsidRDefault="005119F8"/>
        </w:tc>
        <w:tc>
          <w:tcPr>
            <w:tcW w:w="3969" w:type="dxa"/>
          </w:tcPr>
          <w:p w:rsidR="005119F8" w:rsidRDefault="005119F8"/>
        </w:tc>
      </w:tr>
      <w:tr w:rsidR="005119F8" w:rsidTr="005119F8">
        <w:tc>
          <w:tcPr>
            <w:tcW w:w="3369" w:type="dxa"/>
          </w:tcPr>
          <w:p w:rsidR="005119F8" w:rsidRPr="00226EEA" w:rsidRDefault="005119F8" w:rsidP="00695060">
            <w:pPr>
              <w:rPr>
                <w:b/>
                <w:i/>
              </w:rPr>
            </w:pPr>
            <w:r w:rsidRPr="00226EEA">
              <w:rPr>
                <w:b/>
                <w:i/>
              </w:rPr>
              <w:t>Comment</w:t>
            </w:r>
          </w:p>
        </w:tc>
        <w:tc>
          <w:tcPr>
            <w:tcW w:w="3260" w:type="dxa"/>
          </w:tcPr>
          <w:p w:rsidR="005119F8" w:rsidRPr="00226EEA" w:rsidRDefault="005119F8" w:rsidP="00695060">
            <w:pPr>
              <w:jc w:val="both"/>
              <w:rPr>
                <w:i/>
              </w:rPr>
            </w:pPr>
            <w:r w:rsidRPr="00226EEA">
              <w:rPr>
                <w:b/>
                <w:i/>
              </w:rPr>
              <w:t>Explanation</w:t>
            </w:r>
          </w:p>
        </w:tc>
        <w:tc>
          <w:tcPr>
            <w:tcW w:w="3969" w:type="dxa"/>
          </w:tcPr>
          <w:p w:rsidR="005119F8" w:rsidRPr="00226EEA" w:rsidRDefault="005119F8" w:rsidP="00695060">
            <w:pPr>
              <w:jc w:val="both"/>
              <w:rPr>
                <w:i/>
              </w:rPr>
            </w:pPr>
            <w:r w:rsidRPr="00226EEA">
              <w:rPr>
                <w:b/>
                <w:i/>
              </w:rPr>
              <w:t>Corrective action by author</w:t>
            </w:r>
          </w:p>
        </w:tc>
      </w:tr>
      <w:tr w:rsidR="005119F8" w:rsidTr="005119F8">
        <w:tc>
          <w:tcPr>
            <w:tcW w:w="3369" w:type="dxa"/>
          </w:tcPr>
          <w:p w:rsidR="005119F8" w:rsidRDefault="00226EEA" w:rsidP="00226EEA">
            <w:pPr>
              <w:numPr>
                <w:ilvl w:val="0"/>
                <w:numId w:val="2"/>
              </w:numPr>
              <w:ind w:left="284"/>
            </w:pPr>
            <w:r>
              <w:t>Please elaborate by providing feedback on the following point:</w:t>
            </w:r>
          </w:p>
          <w:p w:rsidR="00855045" w:rsidRDefault="00855045" w:rsidP="00226EEA">
            <w:pPr>
              <w:numPr>
                <w:ilvl w:val="0"/>
                <w:numId w:val="3"/>
              </w:numPr>
            </w:pPr>
            <w:r>
              <w:t>Usefulness of the research and the correlation between the understanding of IRs and the decision to buy or sell shares</w:t>
            </w:r>
          </w:p>
          <w:p w:rsidR="00226EEA" w:rsidRDefault="00226EEA" w:rsidP="00226EEA">
            <w:pPr>
              <w:numPr>
                <w:ilvl w:val="0"/>
                <w:numId w:val="3"/>
              </w:numPr>
            </w:pPr>
            <w:r>
              <w:t>What are the adjustments recommended?</w:t>
            </w:r>
          </w:p>
        </w:tc>
        <w:tc>
          <w:tcPr>
            <w:tcW w:w="3260" w:type="dxa"/>
          </w:tcPr>
          <w:p w:rsidR="00A12BC9" w:rsidRDefault="002C3462" w:rsidP="00A12BC9">
            <w:r>
              <w:t xml:space="preserve">This is a valuable comment </w:t>
            </w:r>
            <w:r w:rsidR="00F83679">
              <w:t xml:space="preserve">for </w:t>
            </w:r>
            <w:r>
              <w:t>future research</w:t>
            </w:r>
            <w:r w:rsidR="005F7183">
              <w:t>.</w:t>
            </w:r>
            <w:r>
              <w:t xml:space="preserve"> </w:t>
            </w:r>
            <w:r w:rsidR="005F7183">
              <w:t xml:space="preserve">The correlation between the release of IRs and the </w:t>
            </w:r>
            <w:r w:rsidR="00A278E4">
              <w:t>movement of s</w:t>
            </w:r>
            <w:r w:rsidR="005F7183">
              <w:t xml:space="preserve">tock </w:t>
            </w:r>
            <w:r w:rsidR="00A278E4">
              <w:t>e</w:t>
            </w:r>
            <w:r w:rsidR="005F7183">
              <w:t xml:space="preserve">xchange prices </w:t>
            </w:r>
            <w:r w:rsidR="00FA1CF8">
              <w:t xml:space="preserve">and the usefulness of IRs </w:t>
            </w:r>
            <w:r w:rsidR="005F7183">
              <w:t>is a well-researched area</w:t>
            </w:r>
            <w:r w:rsidR="005F7183" w:rsidRPr="00225CB3">
              <w:t>.</w:t>
            </w:r>
            <w:r w:rsidR="00225CB3">
              <w:t xml:space="preserve"> A few references</w:t>
            </w:r>
            <w:r w:rsidR="00A363BE">
              <w:t xml:space="preserve"> (please see directly below in this column)</w:t>
            </w:r>
            <w:r w:rsidR="00225CB3">
              <w:t xml:space="preserve">, amongst many others, are: </w:t>
            </w:r>
            <w:r w:rsidR="000A2ED2" w:rsidDel="000A2ED2">
              <w:t xml:space="preserve"> </w:t>
            </w:r>
            <w:proofErr w:type="spellStart"/>
            <w:r w:rsidR="00FA1CF8">
              <w:t>Babu</w:t>
            </w:r>
            <w:proofErr w:type="spellEnd"/>
            <w:r w:rsidR="00FA1CF8">
              <w:t xml:space="preserve"> and </w:t>
            </w:r>
            <w:proofErr w:type="spellStart"/>
            <w:r w:rsidR="00FA1CF8">
              <w:t>Kasilingam</w:t>
            </w:r>
            <w:proofErr w:type="spellEnd"/>
            <w:r w:rsidR="00FA1CF8">
              <w:t xml:space="preserve"> (2013), </w:t>
            </w:r>
            <w:r w:rsidR="00225CB3">
              <w:t xml:space="preserve">Han </w:t>
            </w:r>
            <w:r w:rsidR="001E0E12">
              <w:t>(</w:t>
            </w:r>
            <w:r w:rsidR="00225CB3">
              <w:t>2010</w:t>
            </w:r>
            <w:r w:rsidR="001E0E12">
              <w:t>)</w:t>
            </w:r>
            <w:r w:rsidR="00225CB3">
              <w:t xml:space="preserve"> and Butler </w:t>
            </w:r>
            <w:r w:rsidR="00225CB3" w:rsidRPr="00225CB3">
              <w:rPr>
                <w:i/>
              </w:rPr>
              <w:t>et al</w:t>
            </w:r>
            <w:r w:rsidR="00964DA4">
              <w:rPr>
                <w:i/>
              </w:rPr>
              <w:t>.</w:t>
            </w:r>
            <w:r w:rsidR="00225CB3">
              <w:t xml:space="preserve"> </w:t>
            </w:r>
            <w:r w:rsidR="001E0E12">
              <w:t>(</w:t>
            </w:r>
            <w:r w:rsidR="00225CB3">
              <w:t>2007</w:t>
            </w:r>
            <w:r w:rsidR="001E0E12">
              <w:t>)</w:t>
            </w:r>
            <w:r w:rsidR="00035CA9">
              <w:t>.</w:t>
            </w:r>
            <w:r w:rsidR="001E0E12">
              <w:t xml:space="preserve"> </w:t>
            </w:r>
            <w:r w:rsidR="00225CB3">
              <w:t>However,</w:t>
            </w:r>
            <w:r w:rsidR="005F7183">
              <w:t xml:space="preserve"> </w:t>
            </w:r>
            <w:r w:rsidR="00A278E4">
              <w:t xml:space="preserve">two </w:t>
            </w:r>
            <w:r w:rsidR="005F7183">
              <w:t>area</w:t>
            </w:r>
            <w:r w:rsidR="00A278E4">
              <w:t xml:space="preserve">s </w:t>
            </w:r>
            <w:proofErr w:type="spellStart"/>
            <w:r w:rsidR="00A278E4">
              <w:t>iro</w:t>
            </w:r>
            <w:proofErr w:type="spellEnd"/>
            <w:r w:rsidR="00A278E4">
              <w:t xml:space="preserve"> IRs</w:t>
            </w:r>
            <w:r w:rsidR="005F7183">
              <w:t xml:space="preserve"> that </w:t>
            </w:r>
            <w:r w:rsidR="00A278E4">
              <w:t>are</w:t>
            </w:r>
            <w:r w:rsidR="005F7183">
              <w:t xml:space="preserve"> less </w:t>
            </w:r>
            <w:r w:rsidR="00964DA4">
              <w:t xml:space="preserve">well </w:t>
            </w:r>
            <w:r w:rsidR="005F7183">
              <w:t>researched</w:t>
            </w:r>
            <w:r w:rsidR="00A278E4">
              <w:t xml:space="preserve"> are</w:t>
            </w:r>
            <w:r w:rsidR="00225CB3">
              <w:t xml:space="preserve"> </w:t>
            </w:r>
            <w:r w:rsidR="00A278E4">
              <w:t>understanding</w:t>
            </w:r>
            <w:r w:rsidR="00225CB3">
              <w:t xml:space="preserve"> and comparability</w:t>
            </w:r>
            <w:r w:rsidR="00A278E4">
              <w:t>. In this study the focus</w:t>
            </w:r>
            <w:r w:rsidR="005F7183">
              <w:t xml:space="preserve"> is</w:t>
            </w:r>
            <w:r w:rsidR="00225CB3">
              <w:t xml:space="preserve"> thus</w:t>
            </w:r>
            <w:r w:rsidR="005F7183">
              <w:t xml:space="preserve"> the question of </w:t>
            </w:r>
            <w:r w:rsidR="00855045">
              <w:t>whether individual shareholders understand the content of IRs</w:t>
            </w:r>
            <w:r w:rsidR="00F83679">
              <w:t xml:space="preserve">. </w:t>
            </w:r>
            <w:r w:rsidR="005F7183">
              <w:t>The argument is</w:t>
            </w:r>
            <w:r w:rsidR="00FA1CF8">
              <w:t xml:space="preserve"> that</w:t>
            </w:r>
            <w:r w:rsidR="005F7183">
              <w:t xml:space="preserve"> if annual financial reports are well understood</w:t>
            </w:r>
            <w:r w:rsidR="00FA1CF8">
              <w:t>,</w:t>
            </w:r>
            <w:r w:rsidR="005F7183">
              <w:t xml:space="preserve"> then </w:t>
            </w:r>
            <w:r w:rsidR="00A12BC9">
              <w:t>i</w:t>
            </w:r>
            <w:r w:rsidR="005F7183">
              <w:t xml:space="preserve">nterim </w:t>
            </w:r>
            <w:r w:rsidR="00A12BC9">
              <w:t>r</w:t>
            </w:r>
            <w:r w:rsidR="005F7183">
              <w:t>eport</w:t>
            </w:r>
            <w:r w:rsidR="00A12BC9">
              <w:t>s by deduction should also be well understood. In my view this is not necessarily so, as the format, purpose and timing of issue</w:t>
            </w:r>
            <w:r w:rsidR="00964DA4">
              <w:t xml:space="preserve"> of IRs</w:t>
            </w:r>
            <w:r w:rsidR="00A12BC9">
              <w:t xml:space="preserve"> is different to annual financial reports.</w:t>
            </w:r>
          </w:p>
          <w:p w:rsidR="005119F8" w:rsidRDefault="00A12BC9" w:rsidP="00A278E4">
            <w:r>
              <w:t>This</w:t>
            </w:r>
            <w:r w:rsidR="00964DA4">
              <w:t xml:space="preserve"> (understanding)</w:t>
            </w:r>
            <w:r>
              <w:t xml:space="preserve"> is an interesting question to consider, especially in the light of the recent debate on whether the abbreviated format of interim financial reporting could provide the </w:t>
            </w:r>
            <w:r w:rsidR="00F7095B">
              <w:t>framework for integrated financial reporting.</w:t>
            </w:r>
            <w:r w:rsidR="00855045">
              <w:t xml:space="preserve"> </w:t>
            </w:r>
          </w:p>
        </w:tc>
        <w:tc>
          <w:tcPr>
            <w:tcW w:w="3969" w:type="dxa"/>
          </w:tcPr>
          <w:p w:rsidR="005119F8" w:rsidRDefault="002C3462">
            <w:r>
              <w:t>The research problem was clarified to indicate that understanding was addressed</w:t>
            </w:r>
            <w:r w:rsidR="00964DA4">
              <w:t>,</w:t>
            </w:r>
            <w:r>
              <w:t xml:space="preserve"> but not usefulness to the shareholders when taking investment decisions. </w:t>
            </w:r>
          </w:p>
          <w:p w:rsidR="002C3462" w:rsidRDefault="002C3462" w:rsidP="002C3462">
            <w:r>
              <w:t>The fact that this could be investigated, was inserted under the section on future research and a follow-up article where this could be addressed, is a distinct possibility.</w:t>
            </w:r>
          </w:p>
        </w:tc>
      </w:tr>
      <w:tr w:rsidR="005119F8" w:rsidTr="005119F8">
        <w:tc>
          <w:tcPr>
            <w:tcW w:w="3369" w:type="dxa"/>
          </w:tcPr>
          <w:p w:rsidR="005119F8" w:rsidRDefault="005119F8"/>
        </w:tc>
        <w:tc>
          <w:tcPr>
            <w:tcW w:w="3260" w:type="dxa"/>
          </w:tcPr>
          <w:p w:rsidR="00FA1CF8" w:rsidRDefault="00FA1CF8" w:rsidP="000A2ED2">
            <w:pPr>
              <w:numPr>
                <w:ilvl w:val="0"/>
                <w:numId w:val="3"/>
              </w:numPr>
            </w:pPr>
            <w:r>
              <w:t>BABU, C. &amp; KASILINGAM, R.</w:t>
            </w:r>
            <w:r w:rsidR="000A2ED2">
              <w:t xml:space="preserve"> 2013. Impact of Quarterly results on share prices. </w:t>
            </w:r>
            <w:r w:rsidR="000A2ED2" w:rsidRPr="000A2ED2">
              <w:rPr>
                <w:i/>
              </w:rPr>
              <w:t>Indian Journal of Finance</w:t>
            </w:r>
            <w:r w:rsidR="000A2ED2">
              <w:t>, March 2013:19-30.</w:t>
            </w:r>
          </w:p>
          <w:p w:rsidR="00A363BE" w:rsidRPr="00A363BE" w:rsidRDefault="00A363BE" w:rsidP="00A363BE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A363BE">
              <w:rPr>
                <w:lang w:val="en-GB"/>
              </w:rPr>
              <w:t>H</w:t>
            </w:r>
            <w:r>
              <w:rPr>
                <w:lang w:val="en-GB"/>
              </w:rPr>
              <w:t>AN</w:t>
            </w:r>
            <w:r w:rsidRPr="00A363BE">
              <w:rPr>
                <w:lang w:val="en-GB"/>
              </w:rPr>
              <w:t xml:space="preserve">, L. 2010. </w:t>
            </w:r>
            <w:r w:rsidRPr="00A363BE">
              <w:rPr>
                <w:i/>
                <w:lang w:val="en-GB"/>
              </w:rPr>
              <w:t>The internal control provisions of the Sarbanes-Oxley Act and quality of interim earnings.</w:t>
            </w:r>
            <w:r w:rsidRPr="00A363BE">
              <w:rPr>
                <w:lang w:val="en-GB"/>
              </w:rPr>
              <w:t xml:space="preserve"> Unpublished doctoral thesis. Arlington, TX: University of Texas.</w:t>
            </w:r>
          </w:p>
          <w:p w:rsidR="000A2ED2" w:rsidRDefault="00A363BE" w:rsidP="00A363BE">
            <w:pPr>
              <w:numPr>
                <w:ilvl w:val="0"/>
                <w:numId w:val="3"/>
              </w:numPr>
            </w:pPr>
            <w:r>
              <w:t>BUTLER, M., KRAFT, A. &amp; WEISS</w:t>
            </w:r>
            <w:r w:rsidRPr="00A363BE">
              <w:t xml:space="preserve">, I.S. 2007. The effect of reporting frequency on the timeliness of earnings: the cases of voluntary and mandatory interim </w:t>
            </w:r>
            <w:r w:rsidRPr="00A363BE">
              <w:lastRenderedPageBreak/>
              <w:t xml:space="preserve">reports. </w:t>
            </w:r>
            <w:r w:rsidRPr="00A363BE">
              <w:rPr>
                <w:i/>
              </w:rPr>
              <w:t>Journal of Accounting and Economics</w:t>
            </w:r>
            <w:r w:rsidRPr="00A363BE">
              <w:t>, 43(2/3):181-217.</w:t>
            </w:r>
          </w:p>
        </w:tc>
        <w:tc>
          <w:tcPr>
            <w:tcW w:w="3969" w:type="dxa"/>
          </w:tcPr>
          <w:p w:rsidR="005119F8" w:rsidRDefault="005119F8"/>
        </w:tc>
      </w:tr>
      <w:tr w:rsidR="005119F8" w:rsidTr="005119F8">
        <w:tc>
          <w:tcPr>
            <w:tcW w:w="3369" w:type="dxa"/>
          </w:tcPr>
          <w:p w:rsidR="005119F8" w:rsidRDefault="005119F8"/>
        </w:tc>
        <w:tc>
          <w:tcPr>
            <w:tcW w:w="3260" w:type="dxa"/>
          </w:tcPr>
          <w:p w:rsidR="005119F8" w:rsidRDefault="005119F8" w:rsidP="000A2ED2"/>
        </w:tc>
        <w:tc>
          <w:tcPr>
            <w:tcW w:w="3969" w:type="dxa"/>
          </w:tcPr>
          <w:p w:rsidR="005119F8" w:rsidRDefault="005119F8"/>
        </w:tc>
      </w:tr>
    </w:tbl>
    <w:p w:rsidR="005119F8" w:rsidRDefault="005119F8"/>
    <w:p w:rsidR="005119F8" w:rsidRDefault="005119F8"/>
    <w:sectPr w:rsidR="005119F8" w:rsidSect="00CF4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03D2"/>
    <w:multiLevelType w:val="hybridMultilevel"/>
    <w:tmpl w:val="D5D6FD9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8572C"/>
    <w:multiLevelType w:val="hybridMultilevel"/>
    <w:tmpl w:val="2292AC6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97EC1"/>
    <w:multiLevelType w:val="hybridMultilevel"/>
    <w:tmpl w:val="4EAEC106"/>
    <w:lvl w:ilvl="0" w:tplc="E95606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86"/>
    <w:rsid w:val="00035CA9"/>
    <w:rsid w:val="000A2ED2"/>
    <w:rsid w:val="00127196"/>
    <w:rsid w:val="001E0E12"/>
    <w:rsid w:val="00212814"/>
    <w:rsid w:val="00225CB3"/>
    <w:rsid w:val="00226EEA"/>
    <w:rsid w:val="002C3462"/>
    <w:rsid w:val="0030331C"/>
    <w:rsid w:val="00342C86"/>
    <w:rsid w:val="003F1F90"/>
    <w:rsid w:val="005119F8"/>
    <w:rsid w:val="005F7183"/>
    <w:rsid w:val="008128D0"/>
    <w:rsid w:val="00855045"/>
    <w:rsid w:val="008C4BD9"/>
    <w:rsid w:val="00964DA4"/>
    <w:rsid w:val="00A12BC9"/>
    <w:rsid w:val="00A278E4"/>
    <w:rsid w:val="00A363BE"/>
    <w:rsid w:val="00BF04D2"/>
    <w:rsid w:val="00C55F45"/>
    <w:rsid w:val="00C91188"/>
    <w:rsid w:val="00CF4D3E"/>
    <w:rsid w:val="00E32BEA"/>
    <w:rsid w:val="00F7095B"/>
    <w:rsid w:val="00F83679"/>
    <w:rsid w:val="00FA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2014-09-29T10:33:00Z</dcterms:created>
  <dcterms:modified xsi:type="dcterms:W3CDTF">2014-09-29T10:33:00Z</dcterms:modified>
</cp:coreProperties>
</file>