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37" w:rsidRDefault="006D2637" w:rsidP="006D2637">
      <w:pPr>
        <w:pStyle w:val="Default"/>
      </w:pPr>
      <w:bookmarkStart w:id="0" w:name="_GoBack"/>
      <w:bookmarkEnd w:id="0"/>
    </w:p>
    <w:p w:rsidR="006D2637" w:rsidRPr="006D2637" w:rsidRDefault="002C026F" w:rsidP="006D2637">
      <w:pPr>
        <w:pStyle w:val="Title"/>
        <w:jc w:val="center"/>
        <w:rPr>
          <w:rFonts w:ascii="Garamond" w:hAnsi="Garamond"/>
        </w:rPr>
      </w:pPr>
      <w:r>
        <w:rPr>
          <w:rFonts w:ascii="Garamond" w:hAnsi="Garamond"/>
        </w:rPr>
        <w:t xml:space="preserve">Response to </w:t>
      </w:r>
      <w:r w:rsidR="006D2637" w:rsidRPr="006D2637">
        <w:rPr>
          <w:rFonts w:ascii="Garamond" w:hAnsi="Garamond"/>
        </w:rPr>
        <w:t>Reviewer comments: On the rand: A trade-off between exchange rate pass-through and the trade balance?</w:t>
      </w:r>
    </w:p>
    <w:p w:rsidR="006D2637" w:rsidRPr="006D2637" w:rsidRDefault="006D2637" w:rsidP="006D2637">
      <w:pPr>
        <w:pStyle w:val="Heading1"/>
      </w:pPr>
      <w:r>
        <w:t xml:space="preserve"> </w:t>
      </w:r>
      <w:r w:rsidRPr="006D2637">
        <w:t xml:space="preserve">General comments </w:t>
      </w:r>
    </w:p>
    <w:p w:rsidR="006D2637" w:rsidRPr="006D2637" w:rsidRDefault="006D2637" w:rsidP="006D2637">
      <w:pPr>
        <w:pStyle w:val="Default"/>
        <w:jc w:val="both"/>
        <w:rPr>
          <w:rFonts w:ascii="Garamond" w:hAnsi="Garamond" w:cs="Calibri"/>
        </w:rPr>
      </w:pPr>
    </w:p>
    <w:p w:rsidR="0097623F" w:rsidRDefault="006D2637" w:rsidP="006D2637">
      <w:pPr>
        <w:jc w:val="both"/>
        <w:rPr>
          <w:rFonts w:ascii="Garamond" w:hAnsi="Garamond" w:cs="Calibri"/>
          <w:sz w:val="24"/>
          <w:szCs w:val="24"/>
        </w:rPr>
      </w:pPr>
      <w:r w:rsidRPr="006D2637">
        <w:rPr>
          <w:rFonts w:ascii="Garamond" w:hAnsi="Garamond" w:cs="Calibri"/>
          <w:sz w:val="24"/>
          <w:szCs w:val="24"/>
        </w:rPr>
        <w:t>The paper is short and easily readable. The paper flows and the ideas are set out clearly.</w:t>
      </w:r>
      <w:r>
        <w:rPr>
          <w:rFonts w:ascii="Garamond" w:hAnsi="Garamond" w:cs="Calibri"/>
          <w:sz w:val="24"/>
          <w:szCs w:val="24"/>
        </w:rPr>
        <w:t xml:space="preserve"> </w:t>
      </w:r>
      <w:r w:rsidRPr="006D2637">
        <w:rPr>
          <w:rFonts w:ascii="Garamond" w:hAnsi="Garamond" w:cs="Calibri"/>
          <w:sz w:val="24"/>
          <w:szCs w:val="24"/>
        </w:rPr>
        <w:t>However, the effects of the exchange rate on the trade balance have been studied before using a</w:t>
      </w:r>
      <w:r>
        <w:rPr>
          <w:rFonts w:ascii="Garamond" w:hAnsi="Garamond" w:cs="Calibri"/>
          <w:sz w:val="24"/>
          <w:szCs w:val="24"/>
        </w:rPr>
        <w:t xml:space="preserve"> </w:t>
      </w:r>
      <w:r w:rsidRPr="006D2637">
        <w:rPr>
          <w:rFonts w:ascii="Garamond" w:hAnsi="Garamond" w:cs="Calibri"/>
          <w:sz w:val="24"/>
          <w:szCs w:val="24"/>
        </w:rPr>
        <w:t>similar methodology (see Anderson et al. (2010), Ncube et al. (2013), Edwards et al. (2008)). The</w:t>
      </w:r>
      <w:r>
        <w:rPr>
          <w:rFonts w:ascii="Garamond" w:hAnsi="Garamond" w:cs="Calibri"/>
          <w:sz w:val="24"/>
          <w:szCs w:val="24"/>
        </w:rPr>
        <w:t xml:space="preserve"> </w:t>
      </w:r>
      <w:r w:rsidRPr="006D2637">
        <w:rPr>
          <w:rFonts w:ascii="Garamond" w:hAnsi="Garamond" w:cs="Calibri"/>
          <w:sz w:val="24"/>
          <w:szCs w:val="24"/>
        </w:rPr>
        <w:t>paper does not highlight how it innovates from these papers nor mentions (references) their</w:t>
      </w:r>
      <w:r>
        <w:rPr>
          <w:rFonts w:ascii="Garamond" w:hAnsi="Garamond" w:cs="Calibri"/>
          <w:sz w:val="24"/>
          <w:szCs w:val="24"/>
        </w:rPr>
        <w:t xml:space="preserve"> </w:t>
      </w:r>
      <w:r w:rsidRPr="006D2637">
        <w:rPr>
          <w:rFonts w:ascii="Garamond" w:hAnsi="Garamond" w:cs="Calibri"/>
          <w:sz w:val="24"/>
          <w:szCs w:val="24"/>
        </w:rPr>
        <w:t xml:space="preserve">contribution to the literature. </w:t>
      </w:r>
    </w:p>
    <w:p w:rsidR="0097623F" w:rsidRDefault="0097623F" w:rsidP="006D2637">
      <w:pPr>
        <w:jc w:val="both"/>
        <w:rPr>
          <w:rFonts w:ascii="Garamond" w:hAnsi="Garamond" w:cs="Calibri"/>
          <w:sz w:val="24"/>
          <w:szCs w:val="24"/>
        </w:rPr>
      </w:pPr>
      <w:r w:rsidRPr="0097623F">
        <w:rPr>
          <w:rFonts w:ascii="Garamond" w:hAnsi="Garamond" w:cs="Calibri"/>
          <w:b/>
          <w:sz w:val="24"/>
          <w:szCs w:val="24"/>
        </w:rPr>
        <w:t>Response</w:t>
      </w:r>
      <w:r>
        <w:rPr>
          <w:rFonts w:ascii="Garamond" w:hAnsi="Garamond" w:cs="Calibri"/>
          <w:sz w:val="24"/>
          <w:szCs w:val="24"/>
        </w:rPr>
        <w:t xml:space="preserve">: we have referenced and included these papers in the main text. </w:t>
      </w:r>
    </w:p>
    <w:p w:rsidR="00954907" w:rsidRDefault="006D2637" w:rsidP="006D2637">
      <w:pPr>
        <w:jc w:val="both"/>
        <w:rPr>
          <w:rFonts w:ascii="Garamond" w:hAnsi="Garamond" w:cs="Calibri"/>
          <w:sz w:val="24"/>
          <w:szCs w:val="24"/>
        </w:rPr>
      </w:pPr>
      <w:r w:rsidRPr="006D2637">
        <w:rPr>
          <w:rFonts w:ascii="Garamond" w:hAnsi="Garamond" w:cs="Calibri"/>
          <w:sz w:val="24"/>
          <w:szCs w:val="24"/>
        </w:rPr>
        <w:t>The paper’s title is also a bit misleading given the little attention</w:t>
      </w:r>
      <w:r>
        <w:rPr>
          <w:rFonts w:ascii="Garamond" w:hAnsi="Garamond" w:cs="Calibri"/>
          <w:sz w:val="24"/>
          <w:szCs w:val="24"/>
        </w:rPr>
        <w:t xml:space="preserve"> </w:t>
      </w:r>
      <w:r w:rsidRPr="006D2637">
        <w:rPr>
          <w:rFonts w:ascii="Garamond" w:hAnsi="Garamond" w:cs="Calibri"/>
          <w:sz w:val="24"/>
          <w:szCs w:val="24"/>
        </w:rPr>
        <w:t>pass-through receives. There is no mention of the size of exchange rate pass-through to inflation</w:t>
      </w:r>
      <w:r>
        <w:rPr>
          <w:rFonts w:ascii="Garamond" w:hAnsi="Garamond" w:cs="Calibri"/>
          <w:sz w:val="24"/>
          <w:szCs w:val="24"/>
        </w:rPr>
        <w:t xml:space="preserve"> </w:t>
      </w:r>
      <w:r w:rsidRPr="006D2637">
        <w:rPr>
          <w:rFonts w:ascii="Garamond" w:hAnsi="Garamond" w:cs="Calibri"/>
          <w:sz w:val="24"/>
          <w:szCs w:val="24"/>
        </w:rPr>
        <w:t>and the mapping of exchange rate pass-through to the trade balance is not clearly set out. A</w:t>
      </w:r>
      <w:r>
        <w:rPr>
          <w:rFonts w:ascii="Garamond" w:hAnsi="Garamond" w:cs="Calibri"/>
          <w:sz w:val="24"/>
          <w:szCs w:val="24"/>
        </w:rPr>
        <w:t xml:space="preserve"> </w:t>
      </w:r>
      <w:r w:rsidRPr="006D2637">
        <w:rPr>
          <w:rFonts w:ascii="Garamond" w:hAnsi="Garamond" w:cs="Calibri"/>
          <w:sz w:val="24"/>
          <w:szCs w:val="24"/>
        </w:rPr>
        <w:t>more suitable title would be: On the rand: A re-examination of trade balance effects. As such, it</w:t>
      </w:r>
      <w:r>
        <w:rPr>
          <w:rFonts w:ascii="Garamond" w:hAnsi="Garamond" w:cs="Calibri"/>
          <w:sz w:val="24"/>
          <w:szCs w:val="24"/>
        </w:rPr>
        <w:t xml:space="preserve"> </w:t>
      </w:r>
      <w:r w:rsidRPr="006D2637">
        <w:rPr>
          <w:rFonts w:ascii="Garamond" w:hAnsi="Garamond" w:cs="Calibri"/>
          <w:sz w:val="24"/>
          <w:szCs w:val="24"/>
        </w:rPr>
        <w:t>would be difficult to accept the paper in its current form.</w:t>
      </w:r>
    </w:p>
    <w:p w:rsidR="0097623F" w:rsidRDefault="0097623F" w:rsidP="006D2637">
      <w:pPr>
        <w:jc w:val="both"/>
        <w:rPr>
          <w:rFonts w:ascii="Garamond" w:hAnsi="Garamond" w:cs="Calibri"/>
          <w:sz w:val="24"/>
          <w:szCs w:val="24"/>
        </w:rPr>
      </w:pPr>
      <w:r w:rsidRPr="0097623F">
        <w:rPr>
          <w:rFonts w:ascii="Garamond" w:hAnsi="Garamond" w:cs="Calibri"/>
          <w:b/>
          <w:sz w:val="24"/>
          <w:szCs w:val="24"/>
        </w:rPr>
        <w:t>Response</w:t>
      </w:r>
      <w:r>
        <w:rPr>
          <w:rFonts w:ascii="Garamond" w:hAnsi="Garamond" w:cs="Calibri"/>
          <w:sz w:val="24"/>
          <w:szCs w:val="24"/>
        </w:rPr>
        <w:t>: we have changed the title of the paper to “</w:t>
      </w:r>
      <w:r w:rsidRPr="0097623F">
        <w:rPr>
          <w:rFonts w:ascii="Garamond" w:hAnsi="Garamond" w:cs="Calibri"/>
          <w:sz w:val="24"/>
          <w:szCs w:val="24"/>
        </w:rPr>
        <w:t>The Exchange Rate, the Trade Balance and the J-curve Effect in South Africa</w:t>
      </w:r>
      <w:r>
        <w:rPr>
          <w:rFonts w:ascii="Garamond" w:hAnsi="Garamond" w:cs="Calibri"/>
          <w:sz w:val="24"/>
          <w:szCs w:val="24"/>
        </w:rPr>
        <w:t>”</w:t>
      </w:r>
    </w:p>
    <w:p w:rsidR="006D2637" w:rsidRDefault="006D2637" w:rsidP="006D2637">
      <w:pPr>
        <w:pStyle w:val="Heading1"/>
      </w:pPr>
      <w:r w:rsidRPr="006D2637">
        <w:t>Specific comments</w:t>
      </w:r>
    </w:p>
    <w:p w:rsidR="006D2637" w:rsidRPr="006D2637" w:rsidRDefault="006D2637" w:rsidP="006D2637">
      <w:pPr>
        <w:pStyle w:val="Heading1"/>
      </w:pPr>
      <w:r w:rsidRPr="006D2637">
        <w:rPr>
          <w:rFonts w:ascii="Garamond" w:hAnsi="Garamond"/>
          <w:color w:val="5A5C5E"/>
          <w:sz w:val="24"/>
          <w:szCs w:val="24"/>
        </w:rPr>
        <w:t xml:space="preserve"> </w:t>
      </w:r>
      <w:r w:rsidRPr="006D2637">
        <w:t xml:space="preserve">Introduction </w:t>
      </w:r>
    </w:p>
    <w:p w:rsidR="006D2637" w:rsidRPr="006D2637" w:rsidRDefault="006D2637" w:rsidP="006D2637">
      <w:pPr>
        <w:pStyle w:val="Default"/>
        <w:numPr>
          <w:ilvl w:val="0"/>
          <w:numId w:val="1"/>
        </w:numPr>
        <w:spacing w:after="68"/>
        <w:jc w:val="both"/>
        <w:rPr>
          <w:rFonts w:ascii="Garamond" w:hAnsi="Garamond" w:cs="Calibri"/>
        </w:rPr>
      </w:pPr>
      <w:r w:rsidRPr="006D2637">
        <w:rPr>
          <w:rFonts w:ascii="Garamond" w:hAnsi="Garamond" w:cs="Calibri"/>
        </w:rPr>
        <w:t xml:space="preserve">There has been a divergence from the NGP over the last years and a lot of emphasis placed on the NDP. The paper needs to bring in the NDP to justify the policy angle of the exchange rate too. </w:t>
      </w:r>
      <w:r w:rsidR="003F7B95" w:rsidRPr="003F7B95">
        <w:rPr>
          <w:rFonts w:ascii="Garamond" w:hAnsi="Garamond" w:cs="Calibri"/>
          <w:b/>
        </w:rPr>
        <w:t>Response</w:t>
      </w:r>
      <w:r w:rsidR="003F7B95">
        <w:rPr>
          <w:rFonts w:ascii="Garamond" w:hAnsi="Garamond" w:cs="Calibri"/>
        </w:rPr>
        <w:t xml:space="preserve">: We have addressed this by including an extensive footnote (3) on p. 2. </w:t>
      </w:r>
    </w:p>
    <w:p w:rsidR="006D2637" w:rsidRPr="006D2637" w:rsidRDefault="006D2637" w:rsidP="006D2637">
      <w:pPr>
        <w:pStyle w:val="Default"/>
        <w:numPr>
          <w:ilvl w:val="0"/>
          <w:numId w:val="1"/>
        </w:numPr>
        <w:spacing w:after="68"/>
        <w:jc w:val="both"/>
        <w:rPr>
          <w:rFonts w:ascii="Garamond" w:hAnsi="Garamond" w:cs="Calibri"/>
        </w:rPr>
      </w:pPr>
      <w:r w:rsidRPr="006D2637">
        <w:rPr>
          <w:rFonts w:ascii="Garamond" w:hAnsi="Garamond" w:cs="Calibri"/>
        </w:rPr>
        <w:t xml:space="preserve">What is meant by “competitive exchange rate”? This term has been overused by many studies without reference about what it actually means. Does it mean an ever-depreciating exchange rate? Does it mean a level of the exchange rate that is in line with fundamentals (what fundamentals?)? </w:t>
      </w:r>
      <w:r w:rsidR="003F7B95" w:rsidRPr="003F7B95">
        <w:rPr>
          <w:rFonts w:ascii="Garamond" w:hAnsi="Garamond" w:cs="Calibri"/>
          <w:b/>
        </w:rPr>
        <w:t>Response</w:t>
      </w:r>
      <w:r w:rsidR="003F7B95">
        <w:rPr>
          <w:rFonts w:ascii="Garamond" w:hAnsi="Garamond" w:cs="Calibri"/>
        </w:rPr>
        <w:t xml:space="preserve">: We have added a footnote (2) on p. 2 which now explains this.  </w:t>
      </w:r>
    </w:p>
    <w:p w:rsidR="006D2637" w:rsidRPr="006D2637" w:rsidRDefault="006D2637" w:rsidP="006D2637">
      <w:pPr>
        <w:pStyle w:val="Default"/>
        <w:numPr>
          <w:ilvl w:val="0"/>
          <w:numId w:val="1"/>
        </w:numPr>
        <w:spacing w:after="68"/>
        <w:jc w:val="both"/>
        <w:rPr>
          <w:rFonts w:ascii="Garamond" w:hAnsi="Garamond" w:cs="Calibri"/>
        </w:rPr>
      </w:pPr>
      <w:r w:rsidRPr="006D2637">
        <w:rPr>
          <w:rFonts w:ascii="Garamond" w:hAnsi="Garamond" w:cs="Calibri"/>
        </w:rPr>
        <w:t xml:space="preserve">There seems to be a word missing in paragraph 4 page 2:” …has been both a positive and a negative,…”. </w:t>
      </w:r>
      <w:r w:rsidR="003F7B95">
        <w:rPr>
          <w:rFonts w:ascii="Garamond" w:hAnsi="Garamond" w:cs="Calibri"/>
        </w:rPr>
        <w:t xml:space="preserve"> </w:t>
      </w:r>
      <w:r w:rsidR="003F7B95" w:rsidRPr="003F7B95">
        <w:rPr>
          <w:rFonts w:ascii="Garamond" w:hAnsi="Garamond" w:cs="Calibri"/>
          <w:b/>
        </w:rPr>
        <w:t>Response</w:t>
      </w:r>
      <w:r w:rsidR="003F7B95">
        <w:rPr>
          <w:rFonts w:ascii="Garamond" w:hAnsi="Garamond" w:cs="Calibri"/>
        </w:rPr>
        <w:t>: This has been addressed.</w:t>
      </w:r>
    </w:p>
    <w:p w:rsidR="006D2637" w:rsidRDefault="006D2637" w:rsidP="006D2637">
      <w:pPr>
        <w:pStyle w:val="Default"/>
        <w:numPr>
          <w:ilvl w:val="0"/>
          <w:numId w:val="1"/>
        </w:numPr>
        <w:jc w:val="both"/>
      </w:pPr>
      <w:r w:rsidRPr="007E2984">
        <w:rPr>
          <w:rFonts w:ascii="Garamond" w:hAnsi="Garamond" w:cs="Calibri"/>
        </w:rPr>
        <w:t xml:space="preserve">The author(s) claim that there exists a trade-off between higher inflation and a more competitive exchange rate in the long-run: There should be a reference or this should be clearly shown empirically. </w:t>
      </w:r>
      <w:r w:rsidR="007E2984" w:rsidRPr="007E2984">
        <w:rPr>
          <w:rFonts w:ascii="Garamond" w:hAnsi="Garamond" w:cs="Calibri"/>
          <w:b/>
        </w:rPr>
        <w:t>Response</w:t>
      </w:r>
      <w:r w:rsidR="007E2984" w:rsidRPr="007E2984">
        <w:rPr>
          <w:rFonts w:ascii="Garamond" w:hAnsi="Garamond" w:cs="Calibri"/>
        </w:rPr>
        <w:t xml:space="preserve">: On p. 2 of the paper we quote the document </w:t>
      </w:r>
      <w:r w:rsidR="007E2984" w:rsidRPr="007E2984">
        <w:rPr>
          <w:rFonts w:ascii="Garamond" w:hAnsi="Garamond" w:cs="Calibri"/>
        </w:rPr>
        <w:lastRenderedPageBreak/>
        <w:t>underlying the New Growth Path. More specifically, on p. 2 the document talks about a trade-off between a competitive currency that supports growth in production, employment and exports and a stronger Rand that makes imports of capital and consumer goods cheaper.</w:t>
      </w:r>
    </w:p>
    <w:p w:rsidR="006D2637" w:rsidRPr="006D2637" w:rsidRDefault="006D2637" w:rsidP="006D2637">
      <w:pPr>
        <w:pStyle w:val="Heading1"/>
      </w:pPr>
      <w:r w:rsidRPr="006D2637">
        <w:t>Exchange pass-through</w:t>
      </w:r>
    </w:p>
    <w:p w:rsidR="007E2984" w:rsidRPr="007E2984" w:rsidRDefault="006D2637" w:rsidP="007E2984">
      <w:pPr>
        <w:pStyle w:val="ListParagraph"/>
        <w:numPr>
          <w:ilvl w:val="0"/>
          <w:numId w:val="2"/>
        </w:numPr>
        <w:autoSpaceDE w:val="0"/>
        <w:autoSpaceDN w:val="0"/>
        <w:adjustRightInd w:val="0"/>
        <w:spacing w:after="0" w:line="240" w:lineRule="auto"/>
        <w:jc w:val="both"/>
        <w:rPr>
          <w:rFonts w:ascii="Garamond" w:hAnsi="Garamond" w:cs="Calibri"/>
          <w:color w:val="000000"/>
          <w:sz w:val="24"/>
          <w:szCs w:val="24"/>
        </w:rPr>
      </w:pPr>
      <w:r w:rsidRPr="007E2984">
        <w:rPr>
          <w:rFonts w:ascii="Garamond" w:hAnsi="Garamond" w:cs="Calibri"/>
          <w:color w:val="000000"/>
          <w:sz w:val="24"/>
          <w:szCs w:val="24"/>
        </w:rPr>
        <w:t xml:space="preserve">It is not that “obvious” that a rand depreciation would have adverse effects on consumer prices. It could be that pass-through is close to zero. This depends on many factors such as menu costs, import composition, consumption composition and substitution effects. </w:t>
      </w:r>
      <w:r w:rsidR="007E2984" w:rsidRPr="007E2984">
        <w:rPr>
          <w:rFonts w:ascii="Garamond" w:hAnsi="Garamond" w:cs="Calibri"/>
          <w:b/>
          <w:color w:val="000000"/>
          <w:sz w:val="24"/>
          <w:szCs w:val="24"/>
        </w:rPr>
        <w:t>Response</w:t>
      </w:r>
      <w:r w:rsidR="007E2984" w:rsidRPr="007E2984">
        <w:rPr>
          <w:rFonts w:ascii="Garamond" w:hAnsi="Garamond" w:cs="Calibri"/>
          <w:color w:val="000000"/>
          <w:sz w:val="24"/>
          <w:szCs w:val="24"/>
        </w:rPr>
        <w:t xml:space="preserve">: On p. 3 we now say: “A depreciation of the Rand </w:t>
      </w:r>
      <w:r w:rsidR="007E2984" w:rsidRPr="007E2984">
        <w:rPr>
          <w:rFonts w:ascii="Garamond" w:hAnsi="Garamond" w:cs="Calibri"/>
          <w:i/>
          <w:color w:val="000000"/>
          <w:sz w:val="24"/>
          <w:szCs w:val="24"/>
        </w:rPr>
        <w:t>may</w:t>
      </w:r>
      <w:r w:rsidR="007E2984" w:rsidRPr="007E2984">
        <w:rPr>
          <w:rFonts w:ascii="Garamond" w:hAnsi="Garamond" w:cs="Calibri"/>
          <w:color w:val="000000"/>
          <w:sz w:val="24"/>
          <w:szCs w:val="24"/>
        </w:rPr>
        <w:t xml:space="preserve"> have adverse effects on South African consumer price inflation. (…)</w:t>
      </w:r>
      <w:r w:rsidR="007E2984">
        <w:rPr>
          <w:rFonts w:ascii="Garamond" w:hAnsi="Garamond" w:cs="Calibri"/>
          <w:color w:val="000000"/>
          <w:sz w:val="24"/>
          <w:szCs w:val="24"/>
        </w:rPr>
        <w:t>. We then included a footnote (</w:t>
      </w:r>
      <w:r w:rsidR="00FC0FF2">
        <w:rPr>
          <w:rFonts w:ascii="Garamond" w:hAnsi="Garamond" w:cs="Calibri"/>
          <w:color w:val="000000"/>
          <w:sz w:val="24"/>
          <w:szCs w:val="24"/>
        </w:rPr>
        <w:t>4</w:t>
      </w:r>
      <w:r w:rsidR="007E2984">
        <w:rPr>
          <w:rFonts w:ascii="Garamond" w:hAnsi="Garamond" w:cs="Calibri"/>
          <w:color w:val="000000"/>
          <w:sz w:val="24"/>
          <w:szCs w:val="24"/>
        </w:rPr>
        <w:t xml:space="preserve">) which addresses the point raised by the referee. </w:t>
      </w:r>
    </w:p>
    <w:p w:rsidR="007E2984" w:rsidRPr="007E2984" w:rsidRDefault="006D2637" w:rsidP="00FC0FF2">
      <w:pPr>
        <w:pStyle w:val="ListParagraph"/>
        <w:numPr>
          <w:ilvl w:val="0"/>
          <w:numId w:val="2"/>
        </w:numPr>
        <w:autoSpaceDE w:val="0"/>
        <w:autoSpaceDN w:val="0"/>
        <w:adjustRightInd w:val="0"/>
        <w:spacing w:after="68" w:line="240" w:lineRule="auto"/>
        <w:jc w:val="both"/>
        <w:rPr>
          <w:rFonts w:ascii="Garamond" w:hAnsi="Garamond" w:cs="Calibri"/>
          <w:color w:val="000000"/>
          <w:sz w:val="24"/>
          <w:szCs w:val="24"/>
        </w:rPr>
      </w:pPr>
      <w:r w:rsidRPr="006D2637">
        <w:rPr>
          <w:rFonts w:ascii="Garamond" w:hAnsi="Garamond" w:cs="Calibri"/>
          <w:color w:val="000000"/>
          <w:sz w:val="24"/>
          <w:szCs w:val="24"/>
        </w:rPr>
        <w:t xml:space="preserve">Par 3, page 3: Delete from “These estimates are larger…” until the end of that paragraph. This point has been made in the previous paragraph and is only a repetition. </w:t>
      </w:r>
      <w:r w:rsidR="00FC0FF2" w:rsidRPr="00FC0FF2">
        <w:rPr>
          <w:rFonts w:ascii="Garamond" w:hAnsi="Garamond" w:cs="Calibri"/>
          <w:b/>
          <w:color w:val="000000"/>
          <w:sz w:val="24"/>
          <w:szCs w:val="24"/>
        </w:rPr>
        <w:t>Response</w:t>
      </w:r>
      <w:r w:rsidR="00FC0FF2" w:rsidRPr="00FC0FF2">
        <w:rPr>
          <w:rFonts w:ascii="Garamond" w:hAnsi="Garamond" w:cs="Calibri"/>
          <w:color w:val="000000"/>
          <w:sz w:val="24"/>
          <w:szCs w:val="24"/>
        </w:rPr>
        <w:t>:</w:t>
      </w:r>
      <w:r w:rsidR="00FC0FF2">
        <w:rPr>
          <w:rFonts w:ascii="Garamond" w:hAnsi="Garamond" w:cs="Calibri"/>
          <w:color w:val="000000"/>
          <w:sz w:val="24"/>
          <w:szCs w:val="24"/>
        </w:rPr>
        <w:t xml:space="preserve"> This has been addressed. </w:t>
      </w:r>
    </w:p>
    <w:p w:rsidR="006D2637" w:rsidRDefault="006D2637" w:rsidP="00FC0FF2">
      <w:pPr>
        <w:pStyle w:val="ListParagraph"/>
        <w:numPr>
          <w:ilvl w:val="0"/>
          <w:numId w:val="2"/>
        </w:numPr>
        <w:autoSpaceDE w:val="0"/>
        <w:autoSpaceDN w:val="0"/>
        <w:adjustRightInd w:val="0"/>
        <w:spacing w:after="0" w:line="240" w:lineRule="auto"/>
        <w:jc w:val="both"/>
        <w:rPr>
          <w:rFonts w:ascii="Garamond" w:hAnsi="Garamond" w:cs="Calibri"/>
          <w:color w:val="000000"/>
          <w:sz w:val="24"/>
          <w:szCs w:val="24"/>
        </w:rPr>
      </w:pPr>
      <w:r w:rsidRPr="006D2637">
        <w:rPr>
          <w:rFonts w:ascii="Garamond" w:hAnsi="Garamond" w:cs="Calibri"/>
          <w:color w:val="000000"/>
          <w:sz w:val="24"/>
          <w:szCs w:val="24"/>
        </w:rPr>
        <w:t xml:space="preserve">Footnote 3: This would imply that lower pass-through should also be disputed unless it is argued that the link between pass-through and monetary policy credibility is non-existent. </w:t>
      </w:r>
      <w:r w:rsidR="00FC0FF2" w:rsidRPr="00FC0FF2">
        <w:rPr>
          <w:rFonts w:ascii="Garamond" w:hAnsi="Garamond" w:cs="Calibri"/>
          <w:b/>
          <w:color w:val="000000"/>
          <w:sz w:val="24"/>
          <w:szCs w:val="24"/>
        </w:rPr>
        <w:t>Response</w:t>
      </w:r>
      <w:r w:rsidR="00FC0FF2">
        <w:rPr>
          <w:rFonts w:ascii="Garamond" w:hAnsi="Garamond" w:cs="Calibri"/>
          <w:color w:val="000000"/>
          <w:sz w:val="24"/>
          <w:szCs w:val="24"/>
        </w:rPr>
        <w:t>: This footnote has been rewritten and now states: “</w:t>
      </w:r>
      <w:r w:rsidR="00FC0FF2" w:rsidRPr="00FC0FF2">
        <w:rPr>
          <w:rFonts w:ascii="Garamond" w:hAnsi="Garamond" w:cs="Calibri"/>
          <w:color w:val="000000"/>
          <w:sz w:val="24"/>
          <w:szCs w:val="24"/>
        </w:rPr>
        <w:t>For a study about the credibility of the SARB’s inflation targeting regime see Kabundi and Schaling (2013).</w:t>
      </w:r>
      <w:r w:rsidR="00FC0FF2">
        <w:rPr>
          <w:rFonts w:ascii="Garamond" w:hAnsi="Garamond" w:cs="Calibri"/>
          <w:color w:val="000000"/>
          <w:sz w:val="24"/>
          <w:szCs w:val="24"/>
        </w:rPr>
        <w:t>”</w:t>
      </w:r>
    </w:p>
    <w:p w:rsidR="006D2637" w:rsidRPr="006D2637" w:rsidRDefault="006D2637" w:rsidP="006D2637">
      <w:pPr>
        <w:pStyle w:val="Heading1"/>
      </w:pPr>
      <w:r w:rsidRPr="006D2637">
        <w:t xml:space="preserve">Data and descriptive statistics </w:t>
      </w:r>
    </w:p>
    <w:p w:rsidR="006D2637" w:rsidRPr="006D2637" w:rsidRDefault="006D2637" w:rsidP="00FC0FF2">
      <w:pPr>
        <w:pStyle w:val="ListParagraph"/>
        <w:numPr>
          <w:ilvl w:val="0"/>
          <w:numId w:val="2"/>
        </w:numPr>
        <w:autoSpaceDE w:val="0"/>
        <w:autoSpaceDN w:val="0"/>
        <w:adjustRightInd w:val="0"/>
        <w:spacing w:after="68" w:line="240" w:lineRule="auto"/>
        <w:jc w:val="both"/>
        <w:rPr>
          <w:rFonts w:ascii="Garamond" w:hAnsi="Garamond" w:cs="Calibri"/>
          <w:color w:val="000000"/>
          <w:sz w:val="24"/>
          <w:szCs w:val="24"/>
        </w:rPr>
      </w:pPr>
      <w:r w:rsidRPr="006D2637">
        <w:rPr>
          <w:rFonts w:ascii="Garamond" w:hAnsi="Garamond" w:cs="Calibri"/>
          <w:color w:val="000000"/>
          <w:sz w:val="24"/>
          <w:szCs w:val="24"/>
        </w:rPr>
        <w:t xml:space="preserve">The author(s) argue that the “rand translates into a higher inflation rate” – how high is high? </w:t>
      </w:r>
      <w:r w:rsidR="00FC0FF2" w:rsidRPr="00FC0FF2">
        <w:rPr>
          <w:rFonts w:ascii="Garamond" w:hAnsi="Garamond" w:cs="Calibri"/>
          <w:b/>
          <w:color w:val="000000"/>
          <w:sz w:val="24"/>
          <w:szCs w:val="24"/>
        </w:rPr>
        <w:t>Response</w:t>
      </w:r>
      <w:r w:rsidR="00FC0FF2">
        <w:rPr>
          <w:rFonts w:ascii="Garamond" w:hAnsi="Garamond" w:cs="Calibri"/>
          <w:color w:val="000000"/>
          <w:sz w:val="24"/>
          <w:szCs w:val="24"/>
        </w:rPr>
        <w:t>: We have changed the text to: “</w:t>
      </w:r>
      <w:r w:rsidR="00FC0FF2" w:rsidRPr="00FC0FF2">
        <w:rPr>
          <w:rFonts w:ascii="Garamond" w:hAnsi="Garamond" w:cs="Calibri"/>
          <w:color w:val="000000"/>
          <w:sz w:val="24"/>
          <w:szCs w:val="24"/>
        </w:rPr>
        <w:t>The literature review above indicates that a weaker Rand tend</w:t>
      </w:r>
      <w:r w:rsidR="00FC0FF2">
        <w:rPr>
          <w:rFonts w:ascii="Garamond" w:hAnsi="Garamond" w:cs="Calibri"/>
          <w:color w:val="000000"/>
          <w:sz w:val="24"/>
          <w:szCs w:val="24"/>
        </w:rPr>
        <w:t xml:space="preserve">s to push up the inflation rate”. </w:t>
      </w:r>
    </w:p>
    <w:p w:rsidR="00FC0FF2" w:rsidRPr="00FC0FF2" w:rsidRDefault="006D2637" w:rsidP="00FC0FF2">
      <w:pPr>
        <w:pStyle w:val="ListParagraph"/>
        <w:numPr>
          <w:ilvl w:val="0"/>
          <w:numId w:val="2"/>
        </w:numPr>
        <w:rPr>
          <w:rFonts w:ascii="Garamond" w:hAnsi="Garamond" w:cs="Calibri"/>
          <w:color w:val="000000"/>
          <w:sz w:val="24"/>
          <w:szCs w:val="24"/>
        </w:rPr>
      </w:pPr>
      <w:r w:rsidRPr="00FC0FF2">
        <w:rPr>
          <w:rFonts w:ascii="Garamond" w:hAnsi="Garamond" w:cs="Calibri"/>
          <w:color w:val="000000"/>
          <w:sz w:val="24"/>
          <w:szCs w:val="24"/>
        </w:rPr>
        <w:t xml:space="preserve">Typo in par 1 page 4: “So </w:t>
      </w:r>
      <w:r w:rsidRPr="00FC0FF2">
        <w:rPr>
          <w:rFonts w:ascii="Garamond" w:hAnsi="Garamond" w:cs="Calibri"/>
          <w:b/>
          <w:bCs/>
          <w:color w:val="000000"/>
          <w:sz w:val="24"/>
          <w:szCs w:val="24"/>
        </w:rPr>
        <w:t xml:space="preserve">their </w:t>
      </w:r>
      <w:r w:rsidRPr="00FC0FF2">
        <w:rPr>
          <w:rFonts w:ascii="Garamond" w:hAnsi="Garamond" w:cs="Calibri"/>
          <w:color w:val="000000"/>
          <w:sz w:val="24"/>
          <w:szCs w:val="24"/>
        </w:rPr>
        <w:t xml:space="preserve">appears to be…”. </w:t>
      </w:r>
      <w:r w:rsidR="00FC0FF2">
        <w:rPr>
          <w:rFonts w:ascii="Garamond" w:hAnsi="Garamond" w:cs="Calibri"/>
          <w:color w:val="000000"/>
          <w:sz w:val="24"/>
          <w:szCs w:val="24"/>
        </w:rPr>
        <w:t xml:space="preserve"> </w:t>
      </w:r>
      <w:r w:rsidR="00FC0FF2" w:rsidRPr="00FC0FF2">
        <w:rPr>
          <w:rFonts w:ascii="Garamond" w:hAnsi="Garamond" w:cs="Calibri"/>
          <w:b/>
          <w:color w:val="000000"/>
          <w:sz w:val="24"/>
          <w:szCs w:val="24"/>
        </w:rPr>
        <w:t>Response</w:t>
      </w:r>
      <w:r w:rsidR="00FC0FF2" w:rsidRPr="00FC0FF2">
        <w:rPr>
          <w:rFonts w:ascii="Garamond" w:hAnsi="Garamond" w:cs="Calibri"/>
          <w:color w:val="000000"/>
          <w:sz w:val="24"/>
          <w:szCs w:val="24"/>
        </w:rPr>
        <w:t xml:space="preserve">: This has been addressed. </w:t>
      </w:r>
    </w:p>
    <w:p w:rsidR="006D2637" w:rsidRPr="00FC0FF2" w:rsidRDefault="006D2637" w:rsidP="00C54795">
      <w:pPr>
        <w:pStyle w:val="ListParagraph"/>
        <w:numPr>
          <w:ilvl w:val="0"/>
          <w:numId w:val="2"/>
        </w:numPr>
        <w:autoSpaceDE w:val="0"/>
        <w:autoSpaceDN w:val="0"/>
        <w:adjustRightInd w:val="0"/>
        <w:spacing w:after="68" w:line="240" w:lineRule="auto"/>
        <w:jc w:val="both"/>
        <w:rPr>
          <w:rFonts w:ascii="Garamond" w:hAnsi="Garamond" w:cs="Calibri"/>
          <w:color w:val="000000"/>
          <w:sz w:val="24"/>
          <w:szCs w:val="24"/>
        </w:rPr>
      </w:pPr>
      <w:r w:rsidRPr="00FC0FF2">
        <w:rPr>
          <w:rFonts w:ascii="Garamond" w:hAnsi="Garamond" w:cs="Calibri"/>
          <w:color w:val="000000"/>
          <w:sz w:val="24"/>
          <w:szCs w:val="24"/>
        </w:rPr>
        <w:t xml:space="preserve">The sample size needs to be updated. </w:t>
      </w:r>
      <w:r w:rsidR="00C54795" w:rsidRPr="00C54795">
        <w:rPr>
          <w:rFonts w:ascii="Garamond" w:hAnsi="Garamond" w:cs="Calibri"/>
          <w:b/>
          <w:color w:val="000000"/>
          <w:sz w:val="24"/>
          <w:szCs w:val="24"/>
        </w:rPr>
        <w:t>Response</w:t>
      </w:r>
      <w:r w:rsidR="00C54795">
        <w:rPr>
          <w:rFonts w:ascii="Garamond" w:hAnsi="Garamond" w:cs="Calibri"/>
          <w:color w:val="000000"/>
          <w:sz w:val="24"/>
          <w:szCs w:val="24"/>
        </w:rPr>
        <w:t>: This has been addressed. We now say: “</w:t>
      </w:r>
      <w:r w:rsidR="00C54795" w:rsidRPr="00C54795">
        <w:rPr>
          <w:rFonts w:ascii="Garamond" w:hAnsi="Garamond" w:cs="Calibri"/>
          <w:color w:val="000000"/>
          <w:sz w:val="24"/>
          <w:szCs w:val="24"/>
        </w:rPr>
        <w:t>We use quarterly data from 1994Q1 to 2011Q4 (</w:t>
      </w:r>
      <w:r w:rsidR="00C54795" w:rsidRPr="00C54795">
        <w:rPr>
          <w:rFonts w:ascii="Garamond" w:hAnsi="Garamond" w:cs="Calibri"/>
          <w:b/>
          <w:color w:val="000000"/>
          <w:sz w:val="24"/>
          <w:szCs w:val="24"/>
        </w:rPr>
        <w:t>T = 72</w:t>
      </w:r>
      <w:r w:rsidR="00C54795" w:rsidRPr="00C54795">
        <w:rPr>
          <w:rFonts w:ascii="Garamond" w:hAnsi="Garamond" w:cs="Calibri"/>
          <w:color w:val="000000"/>
          <w:sz w:val="24"/>
          <w:szCs w:val="24"/>
        </w:rPr>
        <w:t>)</w:t>
      </w:r>
      <w:r w:rsidR="00C54795">
        <w:rPr>
          <w:rFonts w:ascii="Garamond" w:hAnsi="Garamond" w:cs="Calibri"/>
          <w:color w:val="000000"/>
          <w:sz w:val="24"/>
          <w:szCs w:val="24"/>
        </w:rPr>
        <w:t xml:space="preserve"> (…)”</w:t>
      </w:r>
    </w:p>
    <w:p w:rsidR="006D2637" w:rsidRPr="006D2637" w:rsidRDefault="006D2637" w:rsidP="00C54795">
      <w:pPr>
        <w:pStyle w:val="ListParagraph"/>
        <w:numPr>
          <w:ilvl w:val="0"/>
          <w:numId w:val="2"/>
        </w:numPr>
        <w:autoSpaceDE w:val="0"/>
        <w:autoSpaceDN w:val="0"/>
        <w:adjustRightInd w:val="0"/>
        <w:spacing w:after="0" w:line="240" w:lineRule="auto"/>
        <w:jc w:val="both"/>
        <w:rPr>
          <w:rFonts w:ascii="Garamond" w:hAnsi="Garamond" w:cs="Calibri"/>
          <w:color w:val="000000"/>
          <w:sz w:val="24"/>
          <w:szCs w:val="24"/>
        </w:rPr>
      </w:pPr>
      <w:r w:rsidRPr="006D2637">
        <w:rPr>
          <w:rFonts w:ascii="Garamond" w:hAnsi="Garamond" w:cs="Calibri"/>
          <w:color w:val="000000"/>
          <w:sz w:val="24"/>
          <w:szCs w:val="24"/>
        </w:rPr>
        <w:t xml:space="preserve">What are the non-adjusted series that needs to be updated? </w:t>
      </w:r>
      <w:r w:rsidR="00C54795" w:rsidRPr="00C54795">
        <w:rPr>
          <w:rFonts w:ascii="Garamond" w:hAnsi="Garamond" w:cs="Calibri"/>
          <w:b/>
          <w:color w:val="000000"/>
          <w:sz w:val="24"/>
          <w:szCs w:val="24"/>
        </w:rPr>
        <w:t>Response</w:t>
      </w:r>
      <w:r w:rsidR="00C54795">
        <w:rPr>
          <w:rFonts w:ascii="Garamond" w:hAnsi="Garamond" w:cs="Calibri"/>
          <w:color w:val="000000"/>
          <w:sz w:val="24"/>
          <w:szCs w:val="24"/>
        </w:rPr>
        <w:t xml:space="preserve">: </w:t>
      </w:r>
      <w:r w:rsidR="00C54795" w:rsidRPr="00C54795">
        <w:rPr>
          <w:rFonts w:ascii="Garamond" w:hAnsi="Garamond" w:cs="Calibri"/>
          <w:color w:val="000000"/>
          <w:sz w:val="24"/>
          <w:szCs w:val="24"/>
        </w:rPr>
        <w:t>This is the method used to seasonally adjust series.</w:t>
      </w:r>
      <w:r w:rsidR="00C54795">
        <w:rPr>
          <w:rFonts w:ascii="Garamond" w:hAnsi="Garamond" w:cs="Calibri"/>
          <w:color w:val="000000"/>
          <w:sz w:val="24"/>
          <w:szCs w:val="24"/>
        </w:rPr>
        <w:t xml:space="preserve"> We have also included a footnote that explains this. </w:t>
      </w:r>
    </w:p>
    <w:p w:rsidR="006D2637" w:rsidRPr="006D2637" w:rsidRDefault="006D2637" w:rsidP="006D2637">
      <w:pPr>
        <w:pStyle w:val="Heading1"/>
      </w:pPr>
      <w:r w:rsidRPr="006D2637">
        <w:t xml:space="preserve">Model and test procedure </w:t>
      </w:r>
    </w:p>
    <w:p w:rsidR="006D2637" w:rsidRPr="006D2637" w:rsidRDefault="006D2637" w:rsidP="006D2637">
      <w:pPr>
        <w:pStyle w:val="ListParagraph"/>
        <w:numPr>
          <w:ilvl w:val="0"/>
          <w:numId w:val="2"/>
        </w:numPr>
        <w:autoSpaceDE w:val="0"/>
        <w:autoSpaceDN w:val="0"/>
        <w:adjustRightInd w:val="0"/>
        <w:spacing w:after="68" w:line="240" w:lineRule="auto"/>
        <w:jc w:val="both"/>
        <w:rPr>
          <w:rFonts w:ascii="Garamond" w:hAnsi="Garamond" w:cs="Calibri"/>
          <w:color w:val="000000"/>
          <w:sz w:val="24"/>
          <w:szCs w:val="24"/>
        </w:rPr>
      </w:pPr>
      <w:r w:rsidRPr="006D2637">
        <w:rPr>
          <w:rFonts w:ascii="Garamond" w:hAnsi="Garamond" w:cs="Calibri"/>
          <w:color w:val="000000"/>
          <w:sz w:val="24"/>
          <w:szCs w:val="24"/>
        </w:rPr>
        <w:t xml:space="preserve">Omit “the most powerful”. Superfluous comment. </w:t>
      </w:r>
      <w:r w:rsidR="00C54795" w:rsidRPr="00C54795">
        <w:rPr>
          <w:rFonts w:ascii="Garamond" w:hAnsi="Garamond" w:cs="Calibri"/>
          <w:b/>
          <w:color w:val="000000"/>
          <w:sz w:val="24"/>
          <w:szCs w:val="24"/>
        </w:rPr>
        <w:t>Response</w:t>
      </w:r>
      <w:r w:rsidR="00C54795">
        <w:rPr>
          <w:rFonts w:ascii="Garamond" w:hAnsi="Garamond" w:cs="Calibri"/>
          <w:color w:val="000000"/>
          <w:sz w:val="24"/>
          <w:szCs w:val="24"/>
        </w:rPr>
        <w:t xml:space="preserve">: This has been addressed. </w:t>
      </w:r>
    </w:p>
    <w:p w:rsidR="006D2637" w:rsidRPr="006D2637" w:rsidRDefault="006D2637" w:rsidP="00C54795">
      <w:pPr>
        <w:pStyle w:val="ListParagraph"/>
        <w:numPr>
          <w:ilvl w:val="0"/>
          <w:numId w:val="2"/>
        </w:numPr>
        <w:autoSpaceDE w:val="0"/>
        <w:autoSpaceDN w:val="0"/>
        <w:adjustRightInd w:val="0"/>
        <w:spacing w:after="68" w:line="240" w:lineRule="auto"/>
        <w:jc w:val="both"/>
        <w:rPr>
          <w:rFonts w:ascii="Garamond" w:hAnsi="Garamond" w:cs="Calibri"/>
          <w:color w:val="000000"/>
          <w:sz w:val="24"/>
          <w:szCs w:val="24"/>
        </w:rPr>
      </w:pPr>
      <w:r w:rsidRPr="006D2637">
        <w:rPr>
          <w:rFonts w:ascii="Garamond" w:hAnsi="Garamond" w:cs="Calibri"/>
          <w:color w:val="000000"/>
          <w:sz w:val="24"/>
          <w:szCs w:val="24"/>
        </w:rPr>
        <w:t xml:space="preserve">State why you want to use the unit root tests and how it applies to the empirical methodology. </w:t>
      </w:r>
      <w:r w:rsidR="00C54795" w:rsidRPr="00C54795">
        <w:rPr>
          <w:rFonts w:ascii="Garamond" w:hAnsi="Garamond" w:cs="Calibri"/>
          <w:b/>
          <w:color w:val="000000"/>
          <w:sz w:val="24"/>
          <w:szCs w:val="24"/>
        </w:rPr>
        <w:t>Response</w:t>
      </w:r>
      <w:r w:rsidR="00C54795">
        <w:rPr>
          <w:rFonts w:ascii="Garamond" w:hAnsi="Garamond" w:cs="Calibri"/>
          <w:color w:val="000000"/>
          <w:sz w:val="24"/>
          <w:szCs w:val="24"/>
        </w:rPr>
        <w:t xml:space="preserve">: </w:t>
      </w:r>
      <w:r w:rsidR="00C54795" w:rsidRPr="00C54795">
        <w:rPr>
          <w:rFonts w:ascii="Garamond" w:hAnsi="Garamond" w:cs="Calibri"/>
          <w:color w:val="000000"/>
          <w:sz w:val="24"/>
          <w:szCs w:val="24"/>
        </w:rPr>
        <w:t>We use the unit root test to determine the order of integration of series. In this case all series are integrated of order one, hence the regression in levels might be spurious unless the series are cointegrated. Therefore, the current framework can exploit both long-term relationship between variables and the short-term dynamics. We use the VECM to reconcile the equilibrium relationship and the short-term deviations.</w:t>
      </w:r>
      <w:r w:rsidR="00C54795">
        <w:rPr>
          <w:rFonts w:ascii="Garamond" w:hAnsi="Garamond" w:cs="Calibri"/>
          <w:color w:val="000000"/>
          <w:sz w:val="24"/>
          <w:szCs w:val="24"/>
        </w:rPr>
        <w:t xml:space="preserve"> This is in fact what we say in the main text. </w:t>
      </w:r>
    </w:p>
    <w:p w:rsidR="006D2637" w:rsidRPr="006D2637" w:rsidRDefault="006D2637" w:rsidP="00C54795">
      <w:pPr>
        <w:pStyle w:val="ListParagraph"/>
        <w:numPr>
          <w:ilvl w:val="0"/>
          <w:numId w:val="2"/>
        </w:numPr>
        <w:autoSpaceDE w:val="0"/>
        <w:autoSpaceDN w:val="0"/>
        <w:adjustRightInd w:val="0"/>
        <w:spacing w:after="68" w:line="240" w:lineRule="auto"/>
        <w:jc w:val="both"/>
        <w:rPr>
          <w:rFonts w:ascii="Garamond" w:hAnsi="Garamond" w:cs="Calibri"/>
          <w:color w:val="000000"/>
          <w:sz w:val="24"/>
          <w:szCs w:val="24"/>
        </w:rPr>
      </w:pPr>
      <w:r w:rsidRPr="006D2637">
        <w:rPr>
          <w:rFonts w:ascii="Garamond" w:hAnsi="Garamond" w:cs="Calibri"/>
          <w:color w:val="000000"/>
          <w:sz w:val="24"/>
          <w:szCs w:val="24"/>
        </w:rPr>
        <w:t xml:space="preserve">No need to say the “American definition” when you define the rand. </w:t>
      </w:r>
      <w:r w:rsidR="00C54795" w:rsidRPr="00C54795">
        <w:rPr>
          <w:rFonts w:ascii="Garamond" w:hAnsi="Garamond" w:cs="Calibri"/>
          <w:b/>
          <w:color w:val="000000"/>
          <w:sz w:val="24"/>
          <w:szCs w:val="24"/>
        </w:rPr>
        <w:t>Response</w:t>
      </w:r>
      <w:r w:rsidR="00C54795" w:rsidRPr="00C54795">
        <w:rPr>
          <w:rFonts w:ascii="Garamond" w:hAnsi="Garamond" w:cs="Calibri"/>
          <w:color w:val="000000"/>
          <w:sz w:val="24"/>
          <w:szCs w:val="24"/>
        </w:rPr>
        <w:t>: This has been addressed.</w:t>
      </w:r>
    </w:p>
    <w:p w:rsidR="006D2637" w:rsidRPr="006D2637" w:rsidRDefault="006D2637" w:rsidP="005E7028">
      <w:pPr>
        <w:pStyle w:val="ListParagraph"/>
        <w:numPr>
          <w:ilvl w:val="0"/>
          <w:numId w:val="2"/>
        </w:numPr>
        <w:autoSpaceDE w:val="0"/>
        <w:autoSpaceDN w:val="0"/>
        <w:adjustRightInd w:val="0"/>
        <w:spacing w:after="68" w:line="240" w:lineRule="auto"/>
        <w:jc w:val="both"/>
        <w:rPr>
          <w:rFonts w:ascii="Garamond" w:hAnsi="Garamond" w:cs="Calibri"/>
          <w:color w:val="000000"/>
          <w:sz w:val="24"/>
          <w:szCs w:val="24"/>
        </w:rPr>
      </w:pPr>
      <w:r w:rsidRPr="006D2637">
        <w:rPr>
          <w:rFonts w:ascii="Garamond" w:hAnsi="Garamond" w:cs="Calibri"/>
          <w:color w:val="000000"/>
          <w:sz w:val="24"/>
          <w:szCs w:val="24"/>
        </w:rPr>
        <w:t xml:space="preserve">Why are the units for USAGDP bigger than SAGDP in Figure 1? </w:t>
      </w:r>
      <w:r w:rsidR="005E7028" w:rsidRPr="005E7028">
        <w:rPr>
          <w:rFonts w:ascii="Garamond" w:hAnsi="Garamond" w:cs="Calibri"/>
          <w:b/>
          <w:color w:val="000000"/>
          <w:sz w:val="24"/>
          <w:szCs w:val="24"/>
        </w:rPr>
        <w:t>Response</w:t>
      </w:r>
      <w:r w:rsidR="005E7028">
        <w:rPr>
          <w:rFonts w:ascii="Garamond" w:hAnsi="Garamond" w:cs="Calibri"/>
          <w:color w:val="000000"/>
          <w:sz w:val="24"/>
          <w:szCs w:val="24"/>
        </w:rPr>
        <w:t xml:space="preserve">: </w:t>
      </w:r>
      <w:r w:rsidR="005E7028" w:rsidRPr="005E7028">
        <w:rPr>
          <w:rFonts w:ascii="Garamond" w:hAnsi="Garamond" w:cs="Calibri"/>
          <w:color w:val="000000"/>
          <w:sz w:val="24"/>
          <w:szCs w:val="24"/>
        </w:rPr>
        <w:t>SA GDP is expressed in do</w:t>
      </w:r>
      <w:r w:rsidR="005E7028">
        <w:rPr>
          <w:rFonts w:ascii="Garamond" w:hAnsi="Garamond" w:cs="Calibri"/>
          <w:color w:val="000000"/>
          <w:sz w:val="24"/>
          <w:szCs w:val="24"/>
        </w:rPr>
        <w:t>mestic currency and not in doll</w:t>
      </w:r>
      <w:r w:rsidR="005E7028" w:rsidRPr="005E7028">
        <w:rPr>
          <w:rFonts w:ascii="Garamond" w:hAnsi="Garamond" w:cs="Calibri"/>
          <w:color w:val="000000"/>
          <w:sz w:val="24"/>
          <w:szCs w:val="24"/>
        </w:rPr>
        <w:t>ar term</w:t>
      </w:r>
      <w:r w:rsidR="005E7028">
        <w:rPr>
          <w:rFonts w:ascii="Garamond" w:hAnsi="Garamond" w:cs="Calibri"/>
          <w:color w:val="000000"/>
          <w:sz w:val="24"/>
          <w:szCs w:val="24"/>
        </w:rPr>
        <w:t>s</w:t>
      </w:r>
      <w:r w:rsidR="005E7028" w:rsidRPr="005E7028">
        <w:rPr>
          <w:rFonts w:ascii="Garamond" w:hAnsi="Garamond" w:cs="Calibri"/>
          <w:color w:val="000000"/>
          <w:sz w:val="24"/>
          <w:szCs w:val="24"/>
        </w:rPr>
        <w:t>.</w:t>
      </w:r>
    </w:p>
    <w:p w:rsidR="006D2637" w:rsidRPr="006D2637" w:rsidRDefault="006D2637" w:rsidP="006D2637">
      <w:pPr>
        <w:pStyle w:val="ListParagraph"/>
        <w:numPr>
          <w:ilvl w:val="0"/>
          <w:numId w:val="2"/>
        </w:numPr>
        <w:autoSpaceDE w:val="0"/>
        <w:autoSpaceDN w:val="0"/>
        <w:adjustRightInd w:val="0"/>
        <w:spacing w:after="0" w:line="240" w:lineRule="auto"/>
        <w:jc w:val="both"/>
        <w:rPr>
          <w:rFonts w:ascii="Garamond" w:hAnsi="Garamond" w:cs="Calibri"/>
          <w:color w:val="000000"/>
          <w:sz w:val="24"/>
          <w:szCs w:val="24"/>
        </w:rPr>
      </w:pPr>
      <w:r w:rsidRPr="006D2637">
        <w:rPr>
          <w:rFonts w:ascii="Garamond" w:hAnsi="Garamond" w:cs="Calibri"/>
          <w:color w:val="000000"/>
          <w:sz w:val="24"/>
          <w:szCs w:val="24"/>
        </w:rPr>
        <w:t>What is the corre</w:t>
      </w:r>
      <w:r w:rsidR="005E7028">
        <w:rPr>
          <w:rFonts w:ascii="Garamond" w:hAnsi="Garamond" w:cs="Calibri"/>
          <w:color w:val="000000"/>
          <w:sz w:val="24"/>
          <w:szCs w:val="24"/>
        </w:rPr>
        <w:t xml:space="preserve">lation coefficient of Figure 2? </w:t>
      </w:r>
      <w:r w:rsidR="00C54795" w:rsidRPr="00C54795">
        <w:rPr>
          <w:rFonts w:ascii="Garamond" w:hAnsi="Garamond" w:cs="Calibri"/>
          <w:b/>
          <w:color w:val="000000"/>
          <w:sz w:val="24"/>
          <w:szCs w:val="24"/>
        </w:rPr>
        <w:t>Response</w:t>
      </w:r>
      <w:r w:rsidR="00C54795">
        <w:rPr>
          <w:rFonts w:ascii="Garamond" w:hAnsi="Garamond" w:cs="Calibri"/>
          <w:color w:val="000000"/>
          <w:sz w:val="24"/>
          <w:szCs w:val="24"/>
        </w:rPr>
        <w:t xml:space="preserve">: Figure 2 has been dropped per request of Referee A. </w:t>
      </w:r>
    </w:p>
    <w:p w:rsidR="006D2637" w:rsidRPr="006D2637" w:rsidRDefault="006D2637" w:rsidP="006D2637">
      <w:pPr>
        <w:pStyle w:val="Heading1"/>
      </w:pPr>
      <w:r w:rsidRPr="006D2637">
        <w:t xml:space="preserve">Empirical results </w:t>
      </w:r>
    </w:p>
    <w:p w:rsidR="006D2637" w:rsidRPr="006D2637" w:rsidRDefault="006D2637" w:rsidP="00B54B8D">
      <w:pPr>
        <w:pStyle w:val="ListParagraph"/>
        <w:numPr>
          <w:ilvl w:val="0"/>
          <w:numId w:val="2"/>
        </w:numPr>
        <w:autoSpaceDE w:val="0"/>
        <w:autoSpaceDN w:val="0"/>
        <w:adjustRightInd w:val="0"/>
        <w:spacing w:after="71" w:line="240" w:lineRule="auto"/>
        <w:jc w:val="both"/>
        <w:rPr>
          <w:rFonts w:ascii="Garamond" w:hAnsi="Garamond" w:cs="Calibri"/>
          <w:color w:val="000000"/>
          <w:sz w:val="24"/>
          <w:szCs w:val="24"/>
        </w:rPr>
      </w:pPr>
      <w:r w:rsidRPr="006D2637">
        <w:rPr>
          <w:rFonts w:ascii="Garamond" w:hAnsi="Garamond" w:cs="Calibri"/>
          <w:color w:val="000000"/>
          <w:sz w:val="24"/>
          <w:szCs w:val="24"/>
        </w:rPr>
        <w:t xml:space="preserve">The equation has an income elasticity and exchange rate elasticity but does not have a price elasticity. What informs this exclusion? </w:t>
      </w:r>
      <w:r w:rsidR="00B54B8D" w:rsidRPr="00B54B8D">
        <w:rPr>
          <w:rFonts w:ascii="Garamond" w:hAnsi="Garamond" w:cs="Calibri"/>
          <w:b/>
          <w:color w:val="000000"/>
          <w:sz w:val="24"/>
          <w:szCs w:val="24"/>
        </w:rPr>
        <w:t>Response</w:t>
      </w:r>
      <w:r w:rsidR="00B54B8D">
        <w:rPr>
          <w:rFonts w:ascii="Garamond" w:hAnsi="Garamond" w:cs="Calibri"/>
          <w:color w:val="000000"/>
          <w:sz w:val="24"/>
          <w:szCs w:val="24"/>
        </w:rPr>
        <w:t xml:space="preserve">: </w:t>
      </w:r>
      <w:r w:rsidR="00B54B8D" w:rsidRPr="00B54B8D">
        <w:rPr>
          <w:rFonts w:ascii="Garamond" w:hAnsi="Garamond" w:cs="Calibri"/>
          <w:color w:val="000000"/>
          <w:sz w:val="24"/>
          <w:szCs w:val="24"/>
        </w:rPr>
        <w:t xml:space="preserve">The estimation is based on </w:t>
      </w:r>
      <w:r w:rsidR="00B54B8D">
        <w:rPr>
          <w:rFonts w:ascii="Garamond" w:hAnsi="Garamond" w:cs="Calibri"/>
          <w:color w:val="000000"/>
          <w:sz w:val="24"/>
          <w:szCs w:val="24"/>
        </w:rPr>
        <w:t xml:space="preserve">a </w:t>
      </w:r>
      <w:r w:rsidR="00B54B8D" w:rsidRPr="00B54B8D">
        <w:rPr>
          <w:rFonts w:ascii="Garamond" w:hAnsi="Garamond" w:cs="Calibri"/>
          <w:color w:val="000000"/>
          <w:sz w:val="24"/>
          <w:szCs w:val="24"/>
        </w:rPr>
        <w:t>theoretical model as in Yusoff (2007).</w:t>
      </w:r>
    </w:p>
    <w:p w:rsidR="006D2637" w:rsidRPr="006D2637" w:rsidRDefault="006D2637" w:rsidP="00B54B8D">
      <w:pPr>
        <w:pStyle w:val="ListParagraph"/>
        <w:numPr>
          <w:ilvl w:val="0"/>
          <w:numId w:val="2"/>
        </w:numPr>
        <w:autoSpaceDE w:val="0"/>
        <w:autoSpaceDN w:val="0"/>
        <w:adjustRightInd w:val="0"/>
        <w:spacing w:after="71" w:line="240" w:lineRule="auto"/>
        <w:jc w:val="both"/>
        <w:rPr>
          <w:rFonts w:ascii="Garamond" w:hAnsi="Garamond" w:cs="Calibri"/>
          <w:color w:val="000000"/>
          <w:sz w:val="24"/>
          <w:szCs w:val="24"/>
        </w:rPr>
      </w:pPr>
      <w:r w:rsidRPr="006D2637">
        <w:rPr>
          <w:rFonts w:ascii="Garamond" w:hAnsi="Garamond" w:cs="Calibri"/>
          <w:color w:val="000000"/>
          <w:sz w:val="24"/>
          <w:szCs w:val="24"/>
        </w:rPr>
        <w:t xml:space="preserve">Do the results change when you control for other factors? What other controls have been used? </w:t>
      </w:r>
      <w:r w:rsidR="00B54B8D" w:rsidRPr="00B54B8D">
        <w:rPr>
          <w:rFonts w:ascii="Garamond" w:hAnsi="Garamond" w:cs="Calibri"/>
          <w:b/>
          <w:color w:val="000000"/>
          <w:sz w:val="24"/>
          <w:szCs w:val="24"/>
        </w:rPr>
        <w:t>Response</w:t>
      </w:r>
      <w:r w:rsidR="00B54B8D" w:rsidRPr="00B54B8D">
        <w:rPr>
          <w:rFonts w:ascii="Garamond" w:hAnsi="Garamond" w:cs="Calibri"/>
          <w:color w:val="000000"/>
          <w:sz w:val="24"/>
          <w:szCs w:val="24"/>
        </w:rPr>
        <w:t>:</w:t>
      </w:r>
      <w:r w:rsidR="00B54B8D">
        <w:rPr>
          <w:rFonts w:ascii="Garamond" w:hAnsi="Garamond" w:cs="Calibri"/>
          <w:color w:val="000000"/>
          <w:sz w:val="24"/>
          <w:szCs w:val="24"/>
        </w:rPr>
        <w:t xml:space="preserve"> See our response above. </w:t>
      </w:r>
    </w:p>
    <w:p w:rsidR="006D2637" w:rsidRPr="006D2637" w:rsidRDefault="006D2637" w:rsidP="00B54B8D">
      <w:pPr>
        <w:pStyle w:val="ListParagraph"/>
        <w:numPr>
          <w:ilvl w:val="0"/>
          <w:numId w:val="2"/>
        </w:numPr>
        <w:autoSpaceDE w:val="0"/>
        <w:autoSpaceDN w:val="0"/>
        <w:adjustRightInd w:val="0"/>
        <w:spacing w:after="71" w:line="240" w:lineRule="auto"/>
        <w:jc w:val="both"/>
        <w:rPr>
          <w:rFonts w:ascii="Garamond" w:hAnsi="Garamond" w:cs="Calibri"/>
          <w:color w:val="000000"/>
          <w:sz w:val="24"/>
          <w:szCs w:val="24"/>
        </w:rPr>
      </w:pPr>
      <w:r w:rsidRPr="006D2637">
        <w:rPr>
          <w:rFonts w:ascii="Garamond" w:hAnsi="Garamond" w:cs="Calibri"/>
          <w:color w:val="000000"/>
          <w:sz w:val="24"/>
          <w:szCs w:val="24"/>
        </w:rPr>
        <w:t xml:space="preserve">While it might be correct to say that “the SA economy is substantially linked to economic performance abroad” this is not what is shown in this paper. Rather, trade is substantially linked to economic growth abroad. </w:t>
      </w:r>
      <w:r w:rsidR="00B54B8D" w:rsidRPr="00B54B8D">
        <w:rPr>
          <w:rFonts w:ascii="Garamond" w:hAnsi="Garamond" w:cs="Calibri"/>
          <w:b/>
          <w:color w:val="000000"/>
          <w:sz w:val="24"/>
          <w:szCs w:val="24"/>
        </w:rPr>
        <w:t>Response</w:t>
      </w:r>
      <w:r w:rsidR="00B54B8D">
        <w:rPr>
          <w:rFonts w:ascii="Garamond" w:hAnsi="Garamond" w:cs="Calibri"/>
          <w:color w:val="000000"/>
          <w:sz w:val="24"/>
          <w:szCs w:val="24"/>
        </w:rPr>
        <w:t>: We now say: “</w:t>
      </w:r>
      <w:r w:rsidR="00B54B8D" w:rsidRPr="00B54B8D">
        <w:rPr>
          <w:rFonts w:ascii="Garamond" w:hAnsi="Garamond" w:cs="Calibri"/>
          <w:color w:val="000000"/>
          <w:sz w:val="24"/>
          <w:szCs w:val="24"/>
        </w:rPr>
        <w:t xml:space="preserve">We can conclude that the SA economy is substantially linked to </w:t>
      </w:r>
      <w:r w:rsidR="00B54B8D">
        <w:rPr>
          <w:rFonts w:ascii="Garamond" w:hAnsi="Garamond" w:cs="Calibri"/>
          <w:color w:val="000000"/>
          <w:sz w:val="24"/>
          <w:szCs w:val="24"/>
        </w:rPr>
        <w:t xml:space="preserve">economic growth </w:t>
      </w:r>
      <w:r w:rsidR="00B54B8D" w:rsidRPr="00B54B8D">
        <w:rPr>
          <w:rFonts w:ascii="Garamond" w:hAnsi="Garamond" w:cs="Calibri"/>
          <w:color w:val="000000"/>
          <w:sz w:val="24"/>
          <w:szCs w:val="24"/>
        </w:rPr>
        <w:t>abroad</w:t>
      </w:r>
      <w:r w:rsidR="00B54B8D">
        <w:rPr>
          <w:rFonts w:ascii="Garamond" w:hAnsi="Garamond" w:cs="Calibri"/>
          <w:color w:val="000000"/>
          <w:sz w:val="24"/>
          <w:szCs w:val="24"/>
        </w:rPr>
        <w:t>”.</w:t>
      </w:r>
    </w:p>
    <w:p w:rsidR="006D2637" w:rsidRPr="006D2637" w:rsidRDefault="006D2637" w:rsidP="00504A49">
      <w:pPr>
        <w:pStyle w:val="ListParagraph"/>
        <w:numPr>
          <w:ilvl w:val="0"/>
          <w:numId w:val="2"/>
        </w:numPr>
        <w:autoSpaceDE w:val="0"/>
        <w:autoSpaceDN w:val="0"/>
        <w:adjustRightInd w:val="0"/>
        <w:spacing w:after="71" w:line="240" w:lineRule="auto"/>
        <w:jc w:val="both"/>
        <w:rPr>
          <w:rFonts w:ascii="Garamond" w:hAnsi="Garamond" w:cs="Calibri"/>
          <w:color w:val="000000"/>
          <w:sz w:val="24"/>
          <w:szCs w:val="24"/>
        </w:rPr>
      </w:pPr>
      <w:r w:rsidRPr="006D2637">
        <w:rPr>
          <w:rFonts w:ascii="Garamond" w:hAnsi="Garamond" w:cs="Calibri"/>
          <w:color w:val="000000"/>
          <w:sz w:val="24"/>
          <w:szCs w:val="24"/>
        </w:rPr>
        <w:t xml:space="preserve">Footnote 9: It would be interesting and worthwhile to see if the arguments in this paper are supported by export and import elasticities from other authors. </w:t>
      </w:r>
      <w:r w:rsidR="00504A49" w:rsidRPr="00504A49">
        <w:rPr>
          <w:rFonts w:ascii="Garamond" w:hAnsi="Garamond" w:cs="Calibri"/>
          <w:b/>
          <w:color w:val="000000"/>
          <w:sz w:val="24"/>
          <w:szCs w:val="24"/>
        </w:rPr>
        <w:t>Response</w:t>
      </w:r>
      <w:r w:rsidR="00504A49">
        <w:rPr>
          <w:rFonts w:ascii="Garamond" w:hAnsi="Garamond" w:cs="Calibri"/>
          <w:color w:val="000000"/>
          <w:sz w:val="24"/>
          <w:szCs w:val="24"/>
        </w:rPr>
        <w:t>: We have expanded footnote 10 now to also say: “</w:t>
      </w:r>
      <w:r w:rsidR="00504A49" w:rsidRPr="00504A49">
        <w:rPr>
          <w:rFonts w:ascii="Garamond" w:hAnsi="Garamond" w:cs="Calibri"/>
          <w:color w:val="000000"/>
          <w:sz w:val="24"/>
          <w:szCs w:val="24"/>
        </w:rPr>
        <w:t>The results in this paper are supported by those of Edwards and Lawrence (2006) who find that a 1 percent depreciation is estimated to raise the value of exports relative to imports by approximately 0.7 percent.</w:t>
      </w:r>
      <w:r w:rsidR="00504A49">
        <w:rPr>
          <w:rFonts w:ascii="Garamond" w:hAnsi="Garamond" w:cs="Calibri"/>
          <w:color w:val="000000"/>
          <w:sz w:val="24"/>
          <w:szCs w:val="24"/>
        </w:rPr>
        <w:t>”</w:t>
      </w:r>
    </w:p>
    <w:p w:rsidR="006D2637" w:rsidRPr="006D2637" w:rsidRDefault="006D2637" w:rsidP="006D2637">
      <w:pPr>
        <w:pStyle w:val="ListParagraph"/>
        <w:numPr>
          <w:ilvl w:val="0"/>
          <w:numId w:val="2"/>
        </w:numPr>
        <w:autoSpaceDE w:val="0"/>
        <w:autoSpaceDN w:val="0"/>
        <w:adjustRightInd w:val="0"/>
        <w:spacing w:after="0" w:line="240" w:lineRule="auto"/>
        <w:jc w:val="both"/>
        <w:rPr>
          <w:rFonts w:ascii="Garamond" w:hAnsi="Garamond" w:cs="Calibri"/>
          <w:color w:val="000000"/>
          <w:sz w:val="24"/>
          <w:szCs w:val="24"/>
        </w:rPr>
      </w:pPr>
      <w:r w:rsidRPr="006D2637">
        <w:rPr>
          <w:rFonts w:ascii="Garamond" w:hAnsi="Garamond" w:cs="Calibri"/>
          <w:color w:val="000000"/>
          <w:sz w:val="24"/>
          <w:szCs w:val="24"/>
        </w:rPr>
        <w:t xml:space="preserve">It is a bit of a sweeping statement to infer, from this study, that methods of currency devaluation, as used by China, could work for South Africa. What are the costs associated with such strategies and what are the quantifiable benefits? Does South Africa even have enough reserves to do so? </w:t>
      </w:r>
      <w:r w:rsidR="00504A49" w:rsidRPr="00504A49">
        <w:rPr>
          <w:rFonts w:ascii="Garamond" w:hAnsi="Garamond" w:cs="Calibri"/>
          <w:b/>
          <w:color w:val="000000"/>
          <w:sz w:val="24"/>
          <w:szCs w:val="24"/>
        </w:rPr>
        <w:t>Response</w:t>
      </w:r>
      <w:r w:rsidR="00504A49">
        <w:rPr>
          <w:rFonts w:ascii="Garamond" w:hAnsi="Garamond" w:cs="Calibri"/>
          <w:color w:val="000000"/>
          <w:sz w:val="24"/>
          <w:szCs w:val="24"/>
        </w:rPr>
        <w:t xml:space="preserve">: We have deleted this sentence. </w:t>
      </w:r>
    </w:p>
    <w:p w:rsidR="006D2637" w:rsidRDefault="006D2637" w:rsidP="006D2637">
      <w:pPr>
        <w:pStyle w:val="Heading1"/>
      </w:pPr>
    </w:p>
    <w:sectPr w:rsidR="006D26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C5" w:rsidRDefault="007164C5" w:rsidP="002E5F04">
      <w:pPr>
        <w:spacing w:after="0" w:line="240" w:lineRule="auto"/>
      </w:pPr>
      <w:r>
        <w:separator/>
      </w:r>
    </w:p>
  </w:endnote>
  <w:endnote w:type="continuationSeparator" w:id="0">
    <w:p w:rsidR="007164C5" w:rsidRDefault="007164C5" w:rsidP="002E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664585115"/>
      <w:docPartObj>
        <w:docPartGallery w:val="Page Numbers (Bottom of Page)"/>
        <w:docPartUnique/>
      </w:docPartObj>
    </w:sdtPr>
    <w:sdtEndPr>
      <w:rPr>
        <w:noProof/>
      </w:rPr>
    </w:sdtEndPr>
    <w:sdtContent>
      <w:p w:rsidR="002E5F04" w:rsidRPr="002E5F04" w:rsidRDefault="002E5F04">
        <w:pPr>
          <w:pStyle w:val="Footer"/>
          <w:jc w:val="center"/>
          <w:rPr>
            <w:rFonts w:ascii="Garamond" w:hAnsi="Garamond"/>
          </w:rPr>
        </w:pPr>
        <w:r w:rsidRPr="002E5F04">
          <w:rPr>
            <w:rFonts w:ascii="Garamond" w:hAnsi="Garamond"/>
          </w:rPr>
          <w:fldChar w:fldCharType="begin"/>
        </w:r>
        <w:r w:rsidRPr="002E5F04">
          <w:rPr>
            <w:rFonts w:ascii="Garamond" w:hAnsi="Garamond"/>
          </w:rPr>
          <w:instrText xml:space="preserve"> PAGE   \* MERGEFORMAT </w:instrText>
        </w:r>
        <w:r w:rsidRPr="002E5F04">
          <w:rPr>
            <w:rFonts w:ascii="Garamond" w:hAnsi="Garamond"/>
          </w:rPr>
          <w:fldChar w:fldCharType="separate"/>
        </w:r>
        <w:r w:rsidR="007164C5">
          <w:rPr>
            <w:rFonts w:ascii="Garamond" w:hAnsi="Garamond"/>
            <w:noProof/>
          </w:rPr>
          <w:t>1</w:t>
        </w:r>
        <w:r w:rsidRPr="002E5F04">
          <w:rPr>
            <w:rFonts w:ascii="Garamond" w:hAnsi="Garamond"/>
            <w:noProof/>
          </w:rPr>
          <w:fldChar w:fldCharType="end"/>
        </w:r>
      </w:p>
    </w:sdtContent>
  </w:sdt>
  <w:p w:rsidR="002E5F04" w:rsidRDefault="002E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C5" w:rsidRDefault="007164C5" w:rsidP="002E5F04">
      <w:pPr>
        <w:spacing w:after="0" w:line="240" w:lineRule="auto"/>
      </w:pPr>
      <w:r>
        <w:separator/>
      </w:r>
    </w:p>
  </w:footnote>
  <w:footnote w:type="continuationSeparator" w:id="0">
    <w:p w:rsidR="007164C5" w:rsidRDefault="007164C5" w:rsidP="002E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0D2"/>
    <w:multiLevelType w:val="hybridMultilevel"/>
    <w:tmpl w:val="47EEE0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21185A"/>
    <w:multiLevelType w:val="hybridMultilevel"/>
    <w:tmpl w:val="E1D43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276D53"/>
    <w:multiLevelType w:val="hybridMultilevel"/>
    <w:tmpl w:val="B4082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E01448D"/>
    <w:multiLevelType w:val="hybridMultilevel"/>
    <w:tmpl w:val="0A7C9A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E6825CC"/>
    <w:multiLevelType w:val="hybridMultilevel"/>
    <w:tmpl w:val="4F6C5A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37"/>
    <w:rsid w:val="000B430E"/>
    <w:rsid w:val="000E6DAA"/>
    <w:rsid w:val="00150B66"/>
    <w:rsid w:val="001C11CA"/>
    <w:rsid w:val="002C026F"/>
    <w:rsid w:val="002C23D9"/>
    <w:rsid w:val="002C7D0D"/>
    <w:rsid w:val="002E5F04"/>
    <w:rsid w:val="00314381"/>
    <w:rsid w:val="00340C44"/>
    <w:rsid w:val="00343059"/>
    <w:rsid w:val="003742C2"/>
    <w:rsid w:val="0039110A"/>
    <w:rsid w:val="00396CC8"/>
    <w:rsid w:val="003F11FB"/>
    <w:rsid w:val="003F7B95"/>
    <w:rsid w:val="0043513D"/>
    <w:rsid w:val="004A4BAB"/>
    <w:rsid w:val="004E7EC6"/>
    <w:rsid w:val="00504A49"/>
    <w:rsid w:val="00524AD7"/>
    <w:rsid w:val="00552798"/>
    <w:rsid w:val="005B6AAB"/>
    <w:rsid w:val="005C3B78"/>
    <w:rsid w:val="005E7028"/>
    <w:rsid w:val="005E7661"/>
    <w:rsid w:val="005E7856"/>
    <w:rsid w:val="00647EB4"/>
    <w:rsid w:val="00653731"/>
    <w:rsid w:val="0069056C"/>
    <w:rsid w:val="006D2637"/>
    <w:rsid w:val="006D45D7"/>
    <w:rsid w:val="006F58FC"/>
    <w:rsid w:val="0071349B"/>
    <w:rsid w:val="007164C5"/>
    <w:rsid w:val="00734CFD"/>
    <w:rsid w:val="00760780"/>
    <w:rsid w:val="0076716A"/>
    <w:rsid w:val="007A34CE"/>
    <w:rsid w:val="007E2984"/>
    <w:rsid w:val="007F47AE"/>
    <w:rsid w:val="007F5C2E"/>
    <w:rsid w:val="00812B51"/>
    <w:rsid w:val="008325C1"/>
    <w:rsid w:val="0084266B"/>
    <w:rsid w:val="008734AF"/>
    <w:rsid w:val="008850DF"/>
    <w:rsid w:val="008D14EE"/>
    <w:rsid w:val="009456AD"/>
    <w:rsid w:val="00954907"/>
    <w:rsid w:val="00960865"/>
    <w:rsid w:val="00961D12"/>
    <w:rsid w:val="0097623F"/>
    <w:rsid w:val="009825D5"/>
    <w:rsid w:val="009941FC"/>
    <w:rsid w:val="00996E0E"/>
    <w:rsid w:val="009A5D8B"/>
    <w:rsid w:val="009E2FEB"/>
    <w:rsid w:val="009F78DB"/>
    <w:rsid w:val="00A130EE"/>
    <w:rsid w:val="00A52812"/>
    <w:rsid w:val="00A56E1C"/>
    <w:rsid w:val="00AC2F36"/>
    <w:rsid w:val="00B3710E"/>
    <w:rsid w:val="00B54B8D"/>
    <w:rsid w:val="00B9271A"/>
    <w:rsid w:val="00BA45C9"/>
    <w:rsid w:val="00BC2EED"/>
    <w:rsid w:val="00BC4CDB"/>
    <w:rsid w:val="00C06523"/>
    <w:rsid w:val="00C54795"/>
    <w:rsid w:val="00C72DDE"/>
    <w:rsid w:val="00CC7C7A"/>
    <w:rsid w:val="00CE3DD6"/>
    <w:rsid w:val="00D5406A"/>
    <w:rsid w:val="00D77ACC"/>
    <w:rsid w:val="00D913AE"/>
    <w:rsid w:val="00DA28B8"/>
    <w:rsid w:val="00DA5DBB"/>
    <w:rsid w:val="00DD100D"/>
    <w:rsid w:val="00E04E84"/>
    <w:rsid w:val="00E44361"/>
    <w:rsid w:val="00ED2DC7"/>
    <w:rsid w:val="00F03D93"/>
    <w:rsid w:val="00F462B0"/>
    <w:rsid w:val="00F52999"/>
    <w:rsid w:val="00F74579"/>
    <w:rsid w:val="00F74BC5"/>
    <w:rsid w:val="00FC0FF2"/>
    <w:rsid w:val="00FE36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63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D2637"/>
    <w:pPr>
      <w:ind w:left="720"/>
      <w:contextualSpacing/>
    </w:pPr>
  </w:style>
  <w:style w:type="character" w:styleId="Hyperlink">
    <w:name w:val="Hyperlink"/>
    <w:basedOn w:val="DefaultParagraphFont"/>
    <w:uiPriority w:val="99"/>
    <w:unhideWhenUsed/>
    <w:rsid w:val="006D2637"/>
    <w:rPr>
      <w:color w:val="0000FF" w:themeColor="hyperlink"/>
      <w:u w:val="single"/>
    </w:rPr>
  </w:style>
  <w:style w:type="paragraph" w:styleId="Title">
    <w:name w:val="Title"/>
    <w:basedOn w:val="Normal"/>
    <w:next w:val="Normal"/>
    <w:link w:val="TitleChar"/>
    <w:uiPriority w:val="10"/>
    <w:qFormat/>
    <w:rsid w:val="006D26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63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D26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263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D26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D2637"/>
    <w:pPr>
      <w:spacing w:after="0" w:line="240" w:lineRule="auto"/>
    </w:pPr>
  </w:style>
  <w:style w:type="paragraph" w:styleId="Header">
    <w:name w:val="header"/>
    <w:basedOn w:val="Normal"/>
    <w:link w:val="HeaderChar"/>
    <w:uiPriority w:val="99"/>
    <w:unhideWhenUsed/>
    <w:rsid w:val="002E5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F04"/>
  </w:style>
  <w:style w:type="paragraph" w:styleId="Footer">
    <w:name w:val="footer"/>
    <w:basedOn w:val="Normal"/>
    <w:link w:val="FooterChar"/>
    <w:uiPriority w:val="99"/>
    <w:unhideWhenUsed/>
    <w:rsid w:val="002E5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63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D2637"/>
    <w:pPr>
      <w:ind w:left="720"/>
      <w:contextualSpacing/>
    </w:pPr>
  </w:style>
  <w:style w:type="character" w:styleId="Hyperlink">
    <w:name w:val="Hyperlink"/>
    <w:basedOn w:val="DefaultParagraphFont"/>
    <w:uiPriority w:val="99"/>
    <w:unhideWhenUsed/>
    <w:rsid w:val="006D2637"/>
    <w:rPr>
      <w:color w:val="0000FF" w:themeColor="hyperlink"/>
      <w:u w:val="single"/>
    </w:rPr>
  </w:style>
  <w:style w:type="paragraph" w:styleId="Title">
    <w:name w:val="Title"/>
    <w:basedOn w:val="Normal"/>
    <w:next w:val="Normal"/>
    <w:link w:val="TitleChar"/>
    <w:uiPriority w:val="10"/>
    <w:qFormat/>
    <w:rsid w:val="006D26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63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D26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263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D26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D2637"/>
    <w:pPr>
      <w:spacing w:after="0" w:line="240" w:lineRule="auto"/>
    </w:pPr>
  </w:style>
  <w:style w:type="paragraph" w:styleId="Header">
    <w:name w:val="header"/>
    <w:basedOn w:val="Normal"/>
    <w:link w:val="HeaderChar"/>
    <w:uiPriority w:val="99"/>
    <w:unhideWhenUsed/>
    <w:rsid w:val="002E5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F04"/>
  </w:style>
  <w:style w:type="paragraph" w:styleId="Footer">
    <w:name w:val="footer"/>
    <w:basedOn w:val="Normal"/>
    <w:link w:val="FooterChar"/>
    <w:uiPriority w:val="99"/>
    <w:unhideWhenUsed/>
    <w:rsid w:val="002E5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 A Reserve Bank</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Kabundi</dc:creator>
  <cp:lastModifiedBy>User</cp:lastModifiedBy>
  <cp:revision>2</cp:revision>
  <dcterms:created xsi:type="dcterms:W3CDTF">2014-03-31T10:56:00Z</dcterms:created>
  <dcterms:modified xsi:type="dcterms:W3CDTF">2014-03-31T10:56:00Z</dcterms:modified>
</cp:coreProperties>
</file>